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514" w:rsidRPr="00C05514" w:rsidRDefault="00C05514" w:rsidP="00C05514">
      <w:pPr>
        <w:spacing w:after="0" w:line="240" w:lineRule="auto"/>
        <w:jc w:val="center"/>
        <w:rPr>
          <w:rFonts w:ascii="Times New Roman" w:eastAsia="Times New Roman" w:hAnsi="Times New Roman" w:cs="PT Bold Heading"/>
          <w:b/>
          <w:bCs/>
          <w:color w:val="008000"/>
          <w:sz w:val="32"/>
          <w:szCs w:val="32"/>
          <w:lang w:eastAsia="ar-SA"/>
        </w:rPr>
      </w:pPr>
      <w:r w:rsidRPr="00C05514">
        <w:rPr>
          <w:rFonts w:ascii="Times New Roman" w:eastAsia="Times New Roman" w:hAnsi="Times New Roman" w:cs="PT Bold Heading" w:hint="cs"/>
          <w:b/>
          <w:bCs/>
          <w:color w:val="008000"/>
          <w:sz w:val="32"/>
          <w:szCs w:val="32"/>
          <w:rtl/>
          <w:lang w:eastAsia="ar-SA"/>
        </w:rPr>
        <w:t xml:space="preserve">الطعن رقم 514 لسنة 48 ق </w:t>
      </w:r>
      <w:r w:rsidRPr="00C05514">
        <w:rPr>
          <w:rFonts w:ascii="Times New Roman" w:eastAsia="Times New Roman" w:hAnsi="Times New Roman" w:cs="Times New Roman" w:hint="cs"/>
          <w:b/>
          <w:bCs/>
          <w:color w:val="008000"/>
          <w:sz w:val="32"/>
          <w:szCs w:val="32"/>
          <w:rtl/>
          <w:lang w:eastAsia="ar-SA"/>
        </w:rPr>
        <w:t>-</w:t>
      </w:r>
      <w:r w:rsidRPr="00C05514">
        <w:rPr>
          <w:rFonts w:ascii="Times New Roman" w:eastAsia="Times New Roman" w:hAnsi="Times New Roman" w:cs="PT Bold Heading" w:hint="cs"/>
          <w:b/>
          <w:bCs/>
          <w:color w:val="008000"/>
          <w:sz w:val="32"/>
          <w:szCs w:val="32"/>
          <w:rtl/>
          <w:lang w:eastAsia="ar-SA"/>
        </w:rPr>
        <w:t>جلسة 21-2-1979</w:t>
      </w:r>
    </w:p>
    <w:p w:rsidR="00C05514" w:rsidRPr="00C05514" w:rsidRDefault="00C05514" w:rsidP="00C05514">
      <w:pPr>
        <w:spacing w:after="0" w:line="240" w:lineRule="auto"/>
        <w:jc w:val="center"/>
        <w:rPr>
          <w:rFonts w:ascii="Times New Roman" w:eastAsia="Times New Roman" w:hAnsi="Times New Roman" w:cs="PT Bold Heading"/>
          <w:b/>
          <w:bCs/>
          <w:color w:val="008000"/>
          <w:sz w:val="32"/>
          <w:szCs w:val="32"/>
          <w:lang w:eastAsia="ar-SA"/>
        </w:rPr>
      </w:pPr>
      <w:r w:rsidRPr="00C05514">
        <w:rPr>
          <w:rFonts w:ascii="Times New Roman" w:eastAsia="Times New Roman" w:hAnsi="Times New Roman" w:cs="PT Bold Heading" w:hint="cs"/>
          <w:b/>
          <w:bCs/>
          <w:color w:val="008000"/>
          <w:sz w:val="32"/>
          <w:szCs w:val="32"/>
          <w:rtl/>
          <w:lang w:eastAsia="ar-SA"/>
        </w:rPr>
        <w:t>الموضوع ،  و  الموجز :</w:t>
      </w:r>
    </w:p>
    <w:p w:rsidR="00C05514" w:rsidRPr="00C05514" w:rsidRDefault="00C05514" w:rsidP="00C05514">
      <w:pPr>
        <w:spacing w:after="0" w:line="240" w:lineRule="auto"/>
        <w:jc w:val="lowKashida"/>
        <w:rPr>
          <w:rFonts w:ascii="Times New Roman" w:eastAsia="Times New Roman" w:hAnsi="Times New Roman" w:cs="Simplified Arabic"/>
          <w:b/>
          <w:bCs/>
          <w:sz w:val="32"/>
          <w:szCs w:val="32"/>
        </w:rPr>
      </w:pPr>
    </w:p>
    <w:p w:rsidR="00C05514" w:rsidRPr="00C05514" w:rsidRDefault="00C05514" w:rsidP="00C05514">
      <w:pPr>
        <w:spacing w:after="0" w:line="240" w:lineRule="auto"/>
        <w:jc w:val="lowKashida"/>
        <w:rPr>
          <w:rFonts w:ascii="Times New Roman" w:eastAsia="Times New Roman" w:hAnsi="Times New Roman" w:cs="Simplified Arabic"/>
          <w:b/>
          <w:bCs/>
          <w:sz w:val="28"/>
          <w:szCs w:val="28"/>
        </w:rPr>
      </w:pPr>
      <w:r w:rsidRPr="00C05514">
        <w:rPr>
          <w:rFonts w:ascii="Simplified Arabic" w:eastAsia="Times New Roman" w:hAnsi="Simplified Arabic" w:cs="Simplified Arabic"/>
          <w:b/>
          <w:bCs/>
          <w:sz w:val="32"/>
          <w:szCs w:val="32"/>
          <w:rtl/>
        </w:rPr>
        <w:t xml:space="preserve">(1) </w:t>
      </w:r>
      <w:r w:rsidRPr="00C05514">
        <w:rPr>
          <w:rFonts w:ascii="Simplified Arabic" w:eastAsia="Times New Roman" w:hAnsi="Simplified Arabic" w:cs="Simplified Arabic"/>
          <w:b/>
          <w:bCs/>
          <w:sz w:val="28"/>
          <w:szCs w:val="24"/>
          <w:rtl/>
        </w:rPr>
        <w:t xml:space="preserve">   </w:t>
      </w:r>
      <w:r w:rsidRPr="00C05514">
        <w:rPr>
          <w:rFonts w:ascii="Simplified Arabic" w:eastAsia="Times New Roman" w:hAnsi="Simplified Arabic" w:cs="Simplified Arabic"/>
          <w:b/>
          <w:bCs/>
          <w:sz w:val="28"/>
          <w:szCs w:val="28"/>
          <w:rtl/>
        </w:rPr>
        <w:t xml:space="preserve"> إيجار </w:t>
      </w:r>
    </w:p>
    <w:p w:rsidR="00C05514" w:rsidRPr="00C05514" w:rsidRDefault="00C05514" w:rsidP="00C05514">
      <w:pPr>
        <w:spacing w:after="0" w:line="240" w:lineRule="auto"/>
        <w:jc w:val="lowKashida"/>
        <w:rPr>
          <w:rFonts w:ascii="Times New Roman" w:eastAsia="Times New Roman" w:hAnsi="Times New Roman" w:cs="Simplified Arabic"/>
          <w:sz w:val="28"/>
          <w:szCs w:val="28"/>
        </w:rPr>
      </w:pPr>
      <w:r w:rsidRPr="00C05514">
        <w:rPr>
          <w:rFonts w:ascii="Times New Roman" w:eastAsia="Times New Roman" w:hAnsi="Times New Roman" w:cs="Simplified Arabic"/>
          <w:sz w:val="28"/>
          <w:szCs w:val="28"/>
        </w:rPr>
        <w:t>-</w:t>
      </w:r>
      <w:r w:rsidRPr="00C05514">
        <w:rPr>
          <w:rFonts w:ascii="Simplified Arabic" w:eastAsia="Times New Roman" w:hAnsi="Simplified Arabic" w:cs="Simplified Arabic"/>
          <w:sz w:val="28"/>
          <w:szCs w:val="28"/>
          <w:rtl/>
        </w:rPr>
        <w:t xml:space="preserve"> وفاة مستأجر المسكن أو تركه </w:t>
      </w:r>
      <w:proofErr w:type="gramStart"/>
      <w:r w:rsidRPr="00C05514">
        <w:rPr>
          <w:rFonts w:ascii="Simplified Arabic" w:eastAsia="Times New Roman" w:hAnsi="Simplified Arabic" w:cs="Simplified Arabic"/>
          <w:sz w:val="28"/>
          <w:szCs w:val="28"/>
          <w:rtl/>
        </w:rPr>
        <w:t>له .</w:t>
      </w:r>
      <w:proofErr w:type="gramEnd"/>
      <w:r w:rsidRPr="00C05514">
        <w:rPr>
          <w:rFonts w:ascii="Simplified Arabic" w:eastAsia="Times New Roman" w:hAnsi="Simplified Arabic" w:cs="Simplified Arabic"/>
          <w:sz w:val="28"/>
          <w:szCs w:val="28"/>
          <w:rtl/>
        </w:rPr>
        <w:t xml:space="preserve"> إمتداد العقد لصالح زوجته أو أولاده أو والديه المقيمين معه إقامة مستقرة . قانون 52 لسنة 1969 . سريان هذه القاعدة سواء كان المتوفي أو التارك مستأجراً أصلياً أو من امتد العقد قانوناً لصالحه . مثال بشأن زوج إبنة المستأجر الأصلي</w:t>
      </w:r>
    </w:p>
    <w:p w:rsidR="00C05514" w:rsidRPr="00C05514" w:rsidRDefault="00C05514" w:rsidP="00C05514">
      <w:pPr>
        <w:spacing w:after="0" w:line="240" w:lineRule="auto"/>
        <w:jc w:val="lowKashida"/>
        <w:rPr>
          <w:rFonts w:ascii="Times New Roman" w:eastAsia="Times New Roman" w:hAnsi="Times New Roman" w:cs="Simplified Arabic"/>
          <w:b/>
          <w:bCs/>
          <w:sz w:val="28"/>
          <w:szCs w:val="24"/>
        </w:rPr>
      </w:pPr>
    </w:p>
    <w:p w:rsidR="00C05514" w:rsidRPr="00C05514" w:rsidRDefault="00C05514" w:rsidP="00C05514">
      <w:pPr>
        <w:spacing w:after="0" w:line="240" w:lineRule="auto"/>
        <w:jc w:val="lowKashida"/>
        <w:rPr>
          <w:rFonts w:ascii="Simplified Arabic" w:eastAsia="Times New Roman" w:hAnsi="Simplified Arabic" w:cs="Simplified Arabic"/>
          <w:b/>
          <w:bCs/>
          <w:sz w:val="28"/>
          <w:szCs w:val="24"/>
        </w:rPr>
      </w:pPr>
    </w:p>
    <w:p w:rsidR="00C05514" w:rsidRPr="00C05514" w:rsidRDefault="00C05514" w:rsidP="00C05514">
      <w:pPr>
        <w:spacing w:after="0" w:line="240" w:lineRule="auto"/>
        <w:jc w:val="lowKashida"/>
        <w:rPr>
          <w:rFonts w:ascii="Times New Roman" w:eastAsia="Times New Roman" w:hAnsi="Times New Roman" w:cs="Simplified Arabic"/>
          <w:b/>
          <w:bCs/>
          <w:sz w:val="28"/>
          <w:szCs w:val="24"/>
          <w:rtl/>
        </w:rPr>
      </w:pPr>
    </w:p>
    <w:p w:rsidR="00C05514" w:rsidRPr="00C05514" w:rsidRDefault="00C05514" w:rsidP="00C05514">
      <w:pPr>
        <w:spacing w:after="0" w:line="240" w:lineRule="auto"/>
        <w:jc w:val="center"/>
        <w:rPr>
          <w:rFonts w:ascii="Times New Roman" w:eastAsia="Times New Roman" w:hAnsi="Times New Roman" w:cs="PT Bold Heading"/>
          <w:b/>
          <w:bCs/>
          <w:color w:val="008000"/>
          <w:sz w:val="32"/>
          <w:szCs w:val="32"/>
          <w:lang w:eastAsia="ar-SA"/>
        </w:rPr>
      </w:pPr>
      <w:r w:rsidRPr="00C05514">
        <w:rPr>
          <w:rFonts w:ascii="Times New Roman" w:eastAsia="Times New Roman" w:hAnsi="Times New Roman" w:cs="PT Bold Heading" w:hint="cs"/>
          <w:b/>
          <w:bCs/>
          <w:color w:val="008000"/>
          <w:sz w:val="32"/>
          <w:szCs w:val="32"/>
          <w:rtl/>
          <w:lang w:eastAsia="ar-SA"/>
        </w:rPr>
        <w:t>القاعدة</w:t>
      </w:r>
    </w:p>
    <w:p w:rsidR="00C05514" w:rsidRPr="00C05514" w:rsidRDefault="00C05514" w:rsidP="00C05514">
      <w:pPr>
        <w:spacing w:after="0" w:line="240" w:lineRule="auto"/>
        <w:jc w:val="lowKashida"/>
        <w:rPr>
          <w:rFonts w:ascii="Times New Roman" w:eastAsia="Times New Roman" w:hAnsi="Times New Roman" w:cs="Simplified Arabic"/>
          <w:sz w:val="28"/>
          <w:szCs w:val="28"/>
        </w:rPr>
      </w:pPr>
      <w:r w:rsidRPr="00C05514">
        <w:rPr>
          <w:rFonts w:ascii="Simplified Arabic" w:eastAsia="Times New Roman" w:hAnsi="Simplified Arabic" w:cs="Simplified Arabic"/>
          <w:sz w:val="28"/>
          <w:szCs w:val="28"/>
          <w:rtl/>
        </w:rPr>
        <w:t>1- النص فى المادة 21 من القانون رقم 52 لسنة 1969 فى شأن إيجار الأماكن و  تنظيم العلاقة بين المؤجرين و المستأجرين ، على أنه " مع عدم الإخلال بحكم المادة الخامسة من هذا القانون لا ينتهى عقد الإيجار المسكن بوفاة المستأجر أو تركه العين إذا بقى فيها زوجه أو أولاده أو والداه الذين كانوا يقيمون معه حتى تاريخ الوفاة أو الترك .. . " يدل على أن المشرع أفاد من مزيه الإمتداء القانونى لعقد الإيجار زوجة المستأجر و  أولاده و والديه المقيمين معه أقامه مستقرة حال وفاته أو تركه المسكن ، دون تحديد لمدة الإقامة ، و لما كان النص جاء مطلقاً غير مقيد بجيل واحد من المستأجرين فإن هذه القاعدة يطرد تطبيقها سواء كان المستأجر المتوفى أو التارك هو من أبرم عقد الإيجار إبتداء من المالك ، أو من إمتد العقد قانوناً لصالحه بعد وفاة المستأجر الأصلى أو تركه العين ، يؤيد هذا النظر أن المادة ذاتها فى نهاية فقرتها الأولى ألزمت المؤجر بتحرير عقد إيجار لمن كان يقيم مع المستأجر طالما توافرت فيه الشرائط التى يستوجبها تاكيداً لحقهم فى البقاء بالعين حداً من إستعمال أزمه الإسكان لما كان ذلك ، و كان الواقع فى الدعوى حسبما إستظهره الحكم المطعون فيه أن زوجة الطاعن كانت تقيم مع والدها المستأجر الأصلى حتى وفاته ، و أن الطاعن أقام مع زوجتة حتى مغادرتها البلاد ، فإنه يغدو صاحب حق أصيل فى البقاء بالشقة بالتطبيق لحكم المادة 21 آنفة الذكر .</w:t>
      </w:r>
    </w:p>
    <w:p w:rsidR="00C05514" w:rsidRPr="00C05514" w:rsidRDefault="00C05514" w:rsidP="00C05514">
      <w:pPr>
        <w:spacing w:after="0" w:line="240" w:lineRule="auto"/>
        <w:jc w:val="lowKashida"/>
        <w:rPr>
          <w:rFonts w:ascii="Times New Roman" w:eastAsia="Times New Roman" w:hAnsi="Times New Roman" w:cs="Simplified Arabic"/>
          <w:sz w:val="28"/>
          <w:szCs w:val="28"/>
        </w:rPr>
      </w:pPr>
    </w:p>
    <w:p w:rsidR="00C05514" w:rsidRPr="00C05514" w:rsidRDefault="00C05514" w:rsidP="00C05514">
      <w:pPr>
        <w:spacing w:after="0" w:line="240" w:lineRule="auto"/>
        <w:rPr>
          <w:rFonts w:ascii="Times New Roman" w:eastAsia="Times New Roman" w:hAnsi="Times New Roman" w:cs="Times New Roman"/>
          <w:sz w:val="24"/>
          <w:szCs w:val="24"/>
        </w:rPr>
      </w:pPr>
      <w:r w:rsidRPr="00C05514">
        <w:rPr>
          <w:rFonts w:ascii="Simplified Arabic" w:eastAsia="Times New Roman" w:hAnsi="Simplified Arabic" w:cs="Simplified Arabic"/>
          <w:sz w:val="24"/>
          <w:szCs w:val="24"/>
          <w:rtl/>
        </w:rPr>
        <w:t xml:space="preserve">" سنة المكتب الفنى "  30 " رقم الصفحة -578   -  قاعدة رقم –   -  </w:t>
      </w:r>
    </w:p>
    <w:p w:rsidR="003E5EDE" w:rsidRPr="00C05514" w:rsidRDefault="003E5EDE">
      <w:bookmarkStart w:id="0" w:name="_GoBack"/>
      <w:bookmarkEnd w:id="0"/>
    </w:p>
    <w:sectPr w:rsidR="003E5EDE" w:rsidRPr="00C05514"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B51"/>
    <w:rsid w:val="0003272B"/>
    <w:rsid w:val="003E5EDE"/>
    <w:rsid w:val="005C3B51"/>
    <w:rsid w:val="00C055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3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2020-06-03T13:32:00Z</dcterms:created>
  <dcterms:modified xsi:type="dcterms:W3CDTF">2020-06-03T13:33:00Z</dcterms:modified>
</cp:coreProperties>
</file>