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3B" w:rsidRPr="004F083B" w:rsidRDefault="004F083B" w:rsidP="004F083B">
      <w:pPr>
        <w:spacing w:after="0" w:line="240" w:lineRule="auto"/>
        <w:jc w:val="center"/>
        <w:rPr>
          <w:rFonts w:ascii="Times New Roman" w:eastAsia="Times New Roman" w:hAnsi="Times New Roman" w:cs="PT Bold Heading"/>
          <w:b/>
          <w:bCs/>
          <w:color w:val="008000"/>
          <w:sz w:val="32"/>
          <w:szCs w:val="32"/>
          <w:lang w:eastAsia="ar-SA"/>
        </w:rPr>
      </w:pPr>
      <w:r w:rsidRPr="004F083B">
        <w:rPr>
          <w:rFonts w:ascii="Times New Roman" w:eastAsia="Times New Roman" w:hAnsi="Times New Roman" w:cs="PT Bold Heading" w:hint="cs"/>
          <w:b/>
          <w:bCs/>
          <w:color w:val="008000"/>
          <w:sz w:val="32"/>
          <w:szCs w:val="32"/>
          <w:rtl/>
          <w:lang w:eastAsia="ar-SA"/>
        </w:rPr>
        <w:t xml:space="preserve">الطعن رقم 593 لسنة 45 ق </w:t>
      </w:r>
      <w:r w:rsidRPr="004F083B">
        <w:rPr>
          <w:rFonts w:ascii="Times New Roman" w:eastAsia="Times New Roman" w:hAnsi="Times New Roman" w:cs="Times New Roman" w:hint="cs"/>
          <w:b/>
          <w:bCs/>
          <w:color w:val="008000"/>
          <w:sz w:val="32"/>
          <w:szCs w:val="32"/>
          <w:rtl/>
          <w:lang w:eastAsia="ar-SA"/>
        </w:rPr>
        <w:t>-</w:t>
      </w:r>
      <w:r w:rsidRPr="004F083B">
        <w:rPr>
          <w:rFonts w:ascii="Times New Roman" w:eastAsia="Times New Roman" w:hAnsi="Times New Roman" w:cs="PT Bold Heading" w:hint="cs"/>
          <w:b/>
          <w:bCs/>
          <w:color w:val="008000"/>
          <w:sz w:val="32"/>
          <w:szCs w:val="32"/>
          <w:rtl/>
          <w:lang w:eastAsia="ar-SA"/>
        </w:rPr>
        <w:t xml:space="preserve"> جلسة 30-4-1979</w:t>
      </w:r>
    </w:p>
    <w:p w:rsidR="004F083B" w:rsidRPr="004F083B" w:rsidRDefault="004F083B" w:rsidP="004F083B">
      <w:pPr>
        <w:spacing w:after="0" w:line="240" w:lineRule="auto"/>
        <w:jc w:val="center"/>
        <w:rPr>
          <w:rFonts w:ascii="Times New Roman" w:eastAsia="Times New Roman" w:hAnsi="Times New Roman" w:cs="PT Bold Heading"/>
          <w:b/>
          <w:bCs/>
          <w:color w:val="008000"/>
          <w:sz w:val="32"/>
          <w:szCs w:val="32"/>
          <w:lang w:eastAsia="ar-SA"/>
        </w:rPr>
      </w:pPr>
      <w:r w:rsidRPr="004F083B">
        <w:rPr>
          <w:rFonts w:ascii="Times New Roman" w:eastAsia="Times New Roman" w:hAnsi="Times New Roman" w:cs="PT Bold Heading" w:hint="cs"/>
          <w:b/>
          <w:bCs/>
          <w:color w:val="008000"/>
          <w:sz w:val="32"/>
          <w:szCs w:val="32"/>
          <w:rtl/>
          <w:lang w:eastAsia="ar-SA"/>
        </w:rPr>
        <w:t>الموضوع ،  و  الموجز :</w:t>
      </w:r>
    </w:p>
    <w:p w:rsidR="004F083B" w:rsidRPr="004F083B" w:rsidRDefault="004F083B" w:rsidP="004F083B">
      <w:pPr>
        <w:spacing w:after="0" w:line="240" w:lineRule="auto"/>
        <w:jc w:val="lowKashida"/>
        <w:rPr>
          <w:rFonts w:ascii="Times New Roman" w:eastAsia="Times New Roman" w:hAnsi="Times New Roman" w:cs="Simplified Arabic"/>
          <w:b/>
          <w:bCs/>
          <w:sz w:val="32"/>
          <w:szCs w:val="32"/>
        </w:rPr>
      </w:pPr>
    </w:p>
    <w:p w:rsidR="004F083B" w:rsidRPr="004F083B" w:rsidRDefault="004F083B" w:rsidP="004F083B">
      <w:pPr>
        <w:spacing w:after="0" w:line="240" w:lineRule="auto"/>
        <w:jc w:val="lowKashida"/>
        <w:rPr>
          <w:rFonts w:ascii="Simplified Arabic" w:eastAsia="Times New Roman" w:hAnsi="Simplified Arabic" w:cs="Simplified Arabic"/>
          <w:b/>
          <w:bCs/>
          <w:sz w:val="28"/>
          <w:szCs w:val="24"/>
        </w:rPr>
      </w:pPr>
      <w:r w:rsidRPr="004F083B">
        <w:rPr>
          <w:rFonts w:ascii="Simplified Arabic" w:eastAsia="Times New Roman" w:hAnsi="Simplified Arabic" w:cs="Simplified Arabic"/>
          <w:b/>
          <w:bCs/>
          <w:sz w:val="32"/>
          <w:szCs w:val="32"/>
          <w:rtl/>
        </w:rPr>
        <w:t xml:space="preserve">(1) </w:t>
      </w:r>
      <w:r w:rsidRPr="004F083B">
        <w:rPr>
          <w:rFonts w:ascii="Simplified Arabic" w:eastAsia="Times New Roman" w:hAnsi="Simplified Arabic" w:cs="Simplified Arabic"/>
          <w:b/>
          <w:bCs/>
          <w:sz w:val="28"/>
          <w:szCs w:val="24"/>
          <w:rtl/>
        </w:rPr>
        <w:t xml:space="preserve">  </w:t>
      </w:r>
      <w:r w:rsidRPr="004F083B">
        <w:rPr>
          <w:rFonts w:ascii="Simplified Arabic" w:eastAsia="Times New Roman" w:hAnsi="Simplified Arabic" w:cs="Simplified Arabic"/>
          <w:b/>
          <w:bCs/>
          <w:sz w:val="28"/>
          <w:szCs w:val="28"/>
          <w:rtl/>
        </w:rPr>
        <w:t>إختصاص</w:t>
      </w:r>
      <w:r w:rsidRPr="004F083B">
        <w:rPr>
          <w:rFonts w:ascii="Simplified Arabic" w:eastAsia="Times New Roman" w:hAnsi="Simplified Arabic" w:cs="Simplified Arabic"/>
          <w:b/>
          <w:bCs/>
          <w:sz w:val="28"/>
          <w:szCs w:val="24"/>
          <w:rtl/>
        </w:rPr>
        <w:t xml:space="preserve">  </w:t>
      </w:r>
    </w:p>
    <w:p w:rsidR="004F083B" w:rsidRPr="004F083B" w:rsidRDefault="004F083B" w:rsidP="004F083B">
      <w:pPr>
        <w:spacing w:after="0" w:line="240" w:lineRule="auto"/>
        <w:jc w:val="lowKashida"/>
        <w:rPr>
          <w:rFonts w:ascii="Times New Roman" w:eastAsia="Times New Roman" w:hAnsi="Times New Roman" w:cs="Simplified Arabic"/>
          <w:sz w:val="28"/>
          <w:szCs w:val="28"/>
          <w:rtl/>
        </w:rPr>
      </w:pPr>
      <w:r w:rsidRPr="004F083B">
        <w:rPr>
          <w:rFonts w:ascii="Simplified Arabic" w:eastAsia="Times New Roman" w:hAnsi="Simplified Arabic" w:cs="Simplified Arabic"/>
          <w:sz w:val="28"/>
          <w:szCs w:val="28"/>
          <w:rtl/>
        </w:rPr>
        <w:t>- القرار الصادر بإحالة الدعوى من دائرة إلى أخرى من دوائر المحكمة الإبتدائية لتخصصها بنظر نوع من المنازعات بحسب التنظيم الداخلى للمحكمة لا يعد قضاء بعدم الإختصاص . عدم إعتباره حكما منهيا للخصومة مما يجوز إستئنافه</w:t>
      </w:r>
    </w:p>
    <w:p w:rsidR="004F083B" w:rsidRPr="004F083B" w:rsidRDefault="004F083B" w:rsidP="004F083B">
      <w:pPr>
        <w:spacing w:after="0" w:line="240" w:lineRule="auto"/>
        <w:jc w:val="lowKashida"/>
        <w:rPr>
          <w:rFonts w:ascii="Times New Roman" w:eastAsia="Times New Roman" w:hAnsi="Times New Roman" w:cs="Simplified Arabic"/>
          <w:b/>
          <w:bCs/>
          <w:sz w:val="28"/>
          <w:szCs w:val="24"/>
        </w:rPr>
      </w:pPr>
    </w:p>
    <w:p w:rsidR="004F083B" w:rsidRPr="004F083B" w:rsidRDefault="004F083B" w:rsidP="004F083B">
      <w:pPr>
        <w:spacing w:after="0" w:line="240" w:lineRule="auto"/>
        <w:jc w:val="center"/>
        <w:rPr>
          <w:rFonts w:ascii="Times New Roman" w:eastAsia="Times New Roman" w:hAnsi="Times New Roman" w:cs="PT Bold Heading"/>
          <w:b/>
          <w:bCs/>
          <w:color w:val="008000"/>
          <w:sz w:val="32"/>
          <w:szCs w:val="32"/>
          <w:lang w:eastAsia="ar-SA"/>
        </w:rPr>
      </w:pPr>
      <w:r w:rsidRPr="004F083B">
        <w:rPr>
          <w:rFonts w:ascii="Times New Roman" w:eastAsia="Times New Roman" w:hAnsi="Times New Roman" w:cs="PT Bold Heading" w:hint="cs"/>
          <w:b/>
          <w:bCs/>
          <w:color w:val="008000"/>
          <w:sz w:val="32"/>
          <w:szCs w:val="32"/>
          <w:rtl/>
          <w:lang w:eastAsia="ar-SA"/>
        </w:rPr>
        <w:t>القاعدة</w:t>
      </w:r>
    </w:p>
    <w:p w:rsidR="004F083B" w:rsidRPr="004F083B" w:rsidRDefault="004F083B" w:rsidP="004F083B">
      <w:pPr>
        <w:spacing w:after="0" w:line="240" w:lineRule="auto"/>
        <w:jc w:val="lowKashida"/>
        <w:rPr>
          <w:rFonts w:ascii="Times New Roman" w:eastAsia="Times New Roman" w:hAnsi="Times New Roman" w:cs="Simplified Arabic" w:hint="cs"/>
          <w:sz w:val="28"/>
          <w:szCs w:val="28"/>
          <w:rtl/>
        </w:rPr>
      </w:pPr>
      <w:r w:rsidRPr="004F083B">
        <w:rPr>
          <w:rFonts w:ascii="Simplified Arabic" w:eastAsia="Times New Roman" w:hAnsi="Simplified Arabic" w:cs="Simplified Arabic"/>
          <w:sz w:val="28"/>
          <w:szCs w:val="28"/>
          <w:rtl/>
        </w:rPr>
        <w:t>1- من المقرر- فى قضاء هذه المحكمة - أن تشكيل دوائر مختلفة بالمحكمة الإبتدائية و تخصيص بعضها لنظر أنواع معينة من المنازعات يدخل فى نطاق التنظيم الداخلى للمحكمة مما تختص به الجمعية بها و لا يتعلق بالإختصاص النوعى الذى تتولى قواعده توزيع العمل فيما بين طبقات المحاكم فإن القرار الذى تصدره دائرة بمحكمة معينة بإحالة نزاع مطروح عليها إلى دائرة أخرى بذات المحكمة لتخصيصها بنظر هذا النوع من المنازعات لا تعتبر قضاء بعدم الإختصاص ، لما كان ذلك و كان البين من مدونات الحكم المطعون فيه أن النزاع الحالى كان مطروحاً على الدائرة 14 بمحكمة شمال القاهرة فقضت بإحالتة إلى الدائرة 16 بذات المحكمة المتخصة بنظر منازعات الإفلاس . فإن ما إنتهت إليه الدائرة 14 لا يعدو أن يكون قراراً بالإحالة و لا يعتبر قضاء بعدم الإختصاص ، و لا يغير من هذا النظر ما إستطردت إليه تزيداً من أنها تقضى بإحالة الدعوى وفقاً للمادة 110 مرافعات إذ لا يعدو هذا الإستطراد أن يكون تزيداً خاطئاً ليس من شأنه أن يعتبر من طبيعة و حقيقة الإحالة الداخلى فيما بين دوائر المحكمة الواحدة الذى لا يعتبر حكماً منهياً للخصومة و من ثم لا يرد على إستئناف .</w:t>
      </w:r>
    </w:p>
    <w:p w:rsidR="004F083B" w:rsidRPr="004F083B" w:rsidRDefault="004F083B" w:rsidP="004F083B">
      <w:pPr>
        <w:spacing w:after="0" w:line="240" w:lineRule="auto"/>
        <w:jc w:val="lowKashida"/>
        <w:rPr>
          <w:rFonts w:ascii="Times New Roman" w:eastAsia="Times New Roman" w:hAnsi="Times New Roman" w:cs="Simplified Arabic"/>
          <w:sz w:val="28"/>
          <w:szCs w:val="28"/>
        </w:rPr>
      </w:pPr>
    </w:p>
    <w:p w:rsidR="004F083B" w:rsidRPr="004F083B" w:rsidRDefault="004F083B" w:rsidP="004F083B">
      <w:pPr>
        <w:spacing w:after="0" w:line="240" w:lineRule="auto"/>
        <w:jc w:val="center"/>
        <w:rPr>
          <w:rFonts w:ascii="Times New Roman" w:eastAsia="Times New Roman" w:hAnsi="Times New Roman" w:cs="Simplified Arabic"/>
          <w:sz w:val="24"/>
          <w:szCs w:val="24"/>
        </w:rPr>
      </w:pPr>
      <w:r w:rsidRPr="004F083B">
        <w:rPr>
          <w:rFonts w:ascii="Simplified Arabic" w:eastAsia="Times New Roman" w:hAnsi="Simplified Arabic" w:cs="Simplified Arabic"/>
          <w:sz w:val="24"/>
          <w:szCs w:val="24"/>
          <w:rtl/>
        </w:rPr>
        <w:t>" سنة المكتب الفنى "  30 " رقم الصفحة -    -  قاعدة رقم –   -  "</w:t>
      </w:r>
    </w:p>
    <w:p w:rsidR="004F083B" w:rsidRPr="004F083B" w:rsidRDefault="004F083B" w:rsidP="004F083B">
      <w:pPr>
        <w:spacing w:after="0" w:line="240" w:lineRule="auto"/>
        <w:rPr>
          <w:rFonts w:ascii="Times New Roman" w:eastAsia="Times New Roman" w:hAnsi="Times New Roman" w:cs="Times New Roman"/>
          <w:sz w:val="24"/>
          <w:szCs w:val="24"/>
        </w:rPr>
      </w:pPr>
    </w:p>
    <w:p w:rsidR="003E5EDE" w:rsidRPr="004F083B" w:rsidRDefault="003E5EDE">
      <w:bookmarkStart w:id="0" w:name="_GoBack"/>
      <w:bookmarkEnd w:id="0"/>
    </w:p>
    <w:sectPr w:rsidR="003E5EDE" w:rsidRPr="004F083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A"/>
    <w:rsid w:val="0003272B"/>
    <w:rsid w:val="0023721A"/>
    <w:rsid w:val="003E5EDE"/>
    <w:rsid w:val="004F0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2020-06-03T14:08:00Z</dcterms:created>
  <dcterms:modified xsi:type="dcterms:W3CDTF">2020-06-03T14:09:00Z</dcterms:modified>
</cp:coreProperties>
</file>