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52" w:rsidRPr="00690852" w:rsidRDefault="00690852" w:rsidP="00690852">
      <w:pPr>
        <w:spacing w:after="0" w:line="240" w:lineRule="auto"/>
        <w:jc w:val="center"/>
        <w:rPr>
          <w:rFonts w:ascii="Times New Roman" w:eastAsia="Times New Roman" w:hAnsi="Times New Roman" w:cs="PT Bold Heading"/>
          <w:b/>
          <w:bCs/>
          <w:color w:val="008000"/>
          <w:sz w:val="32"/>
          <w:szCs w:val="32"/>
          <w:lang w:eastAsia="ar-SA"/>
        </w:rPr>
      </w:pPr>
      <w:r w:rsidRPr="00690852">
        <w:rPr>
          <w:rFonts w:ascii="Times New Roman" w:eastAsia="Times New Roman" w:hAnsi="Times New Roman" w:cs="PT Bold Heading" w:hint="cs"/>
          <w:b/>
          <w:bCs/>
          <w:color w:val="008000"/>
          <w:sz w:val="32"/>
          <w:szCs w:val="32"/>
          <w:rtl/>
          <w:lang w:eastAsia="ar-SA"/>
        </w:rPr>
        <w:t xml:space="preserve">الطعن رقم 618 لسنة 45 ق </w:t>
      </w:r>
      <w:r w:rsidRPr="00690852">
        <w:rPr>
          <w:rFonts w:ascii="Times New Roman" w:eastAsia="Times New Roman" w:hAnsi="Times New Roman" w:cs="Times New Roman" w:hint="cs"/>
          <w:b/>
          <w:bCs/>
          <w:color w:val="008000"/>
          <w:sz w:val="32"/>
          <w:szCs w:val="32"/>
          <w:rtl/>
          <w:lang w:eastAsia="ar-SA"/>
        </w:rPr>
        <w:t>-</w:t>
      </w:r>
      <w:r w:rsidRPr="00690852">
        <w:rPr>
          <w:rFonts w:ascii="Times New Roman" w:eastAsia="Times New Roman" w:hAnsi="Times New Roman" w:cs="PT Bold Heading" w:hint="cs"/>
          <w:b/>
          <w:bCs/>
          <w:color w:val="008000"/>
          <w:sz w:val="32"/>
          <w:szCs w:val="32"/>
          <w:rtl/>
          <w:lang w:eastAsia="ar-SA"/>
        </w:rPr>
        <w:t xml:space="preserve"> جلسة 7-4-1979</w:t>
      </w:r>
    </w:p>
    <w:p w:rsidR="00690852" w:rsidRPr="00690852" w:rsidRDefault="00690852" w:rsidP="00690852">
      <w:pPr>
        <w:spacing w:after="0" w:line="240" w:lineRule="auto"/>
        <w:jc w:val="center"/>
        <w:rPr>
          <w:rFonts w:ascii="Times New Roman" w:eastAsia="Times New Roman" w:hAnsi="Times New Roman" w:cs="PT Bold Heading"/>
          <w:b/>
          <w:bCs/>
          <w:color w:val="008000"/>
          <w:sz w:val="32"/>
          <w:szCs w:val="32"/>
          <w:lang w:eastAsia="ar-SA"/>
        </w:rPr>
      </w:pPr>
      <w:r w:rsidRPr="00690852">
        <w:rPr>
          <w:rFonts w:ascii="Times New Roman" w:eastAsia="Times New Roman" w:hAnsi="Times New Roman" w:cs="PT Bold Heading" w:hint="cs"/>
          <w:b/>
          <w:bCs/>
          <w:color w:val="008000"/>
          <w:sz w:val="32"/>
          <w:szCs w:val="32"/>
          <w:rtl/>
          <w:lang w:eastAsia="ar-SA"/>
        </w:rPr>
        <w:t>الموضوع ،  و  الموجز :</w:t>
      </w:r>
    </w:p>
    <w:p w:rsidR="00690852" w:rsidRPr="00690852" w:rsidRDefault="00690852" w:rsidP="00690852">
      <w:pPr>
        <w:spacing w:after="0" w:line="240" w:lineRule="auto"/>
        <w:jc w:val="lowKashida"/>
        <w:rPr>
          <w:rFonts w:ascii="Times New Roman" w:eastAsia="Times New Roman" w:hAnsi="Times New Roman" w:cs="Simplified Arabic"/>
          <w:b/>
          <w:bCs/>
          <w:sz w:val="32"/>
          <w:szCs w:val="32"/>
        </w:rPr>
      </w:pPr>
    </w:p>
    <w:p w:rsidR="00690852" w:rsidRPr="00690852" w:rsidRDefault="00690852" w:rsidP="00690852">
      <w:pPr>
        <w:spacing w:after="0" w:line="240" w:lineRule="auto"/>
        <w:jc w:val="lowKashida"/>
        <w:rPr>
          <w:rFonts w:ascii="Times New Roman" w:eastAsia="Times New Roman" w:hAnsi="Times New Roman" w:cs="Simplified Arabic"/>
          <w:b/>
          <w:bCs/>
          <w:sz w:val="28"/>
          <w:szCs w:val="28"/>
        </w:rPr>
      </w:pPr>
      <w:r w:rsidRPr="00690852">
        <w:rPr>
          <w:rFonts w:ascii="Simplified Arabic" w:eastAsia="Times New Roman" w:hAnsi="Simplified Arabic" w:cs="Simplified Arabic"/>
          <w:b/>
          <w:bCs/>
          <w:sz w:val="32"/>
          <w:szCs w:val="32"/>
          <w:rtl/>
        </w:rPr>
        <w:t xml:space="preserve">(1) </w:t>
      </w:r>
      <w:r w:rsidRPr="00690852">
        <w:rPr>
          <w:rFonts w:ascii="Simplified Arabic" w:eastAsia="Times New Roman" w:hAnsi="Simplified Arabic" w:cs="Simplified Arabic"/>
          <w:b/>
          <w:bCs/>
          <w:sz w:val="28"/>
          <w:szCs w:val="24"/>
          <w:rtl/>
        </w:rPr>
        <w:t xml:space="preserve">   </w:t>
      </w:r>
      <w:r w:rsidRPr="00690852">
        <w:rPr>
          <w:rFonts w:ascii="Simplified Arabic" w:eastAsia="Times New Roman" w:hAnsi="Simplified Arabic" w:cs="Simplified Arabic"/>
          <w:b/>
          <w:bCs/>
          <w:sz w:val="28"/>
          <w:szCs w:val="28"/>
          <w:rtl/>
        </w:rPr>
        <w:t xml:space="preserve"> إيجار </w:t>
      </w:r>
    </w:p>
    <w:p w:rsidR="00690852" w:rsidRPr="00690852" w:rsidRDefault="00690852" w:rsidP="00690852">
      <w:pPr>
        <w:spacing w:after="0" w:line="240" w:lineRule="auto"/>
        <w:jc w:val="lowKashida"/>
        <w:rPr>
          <w:rFonts w:ascii="Times New Roman" w:eastAsia="Times New Roman" w:hAnsi="Times New Roman" w:cs="Simplified Arabic"/>
          <w:sz w:val="28"/>
          <w:szCs w:val="28"/>
        </w:rPr>
      </w:pPr>
      <w:r w:rsidRPr="00690852">
        <w:rPr>
          <w:rFonts w:ascii="Times New Roman" w:eastAsia="Times New Roman" w:hAnsi="Times New Roman" w:cs="Simplified Arabic"/>
          <w:sz w:val="28"/>
          <w:szCs w:val="28"/>
        </w:rPr>
        <w:t>-</w:t>
      </w:r>
      <w:r w:rsidRPr="00690852">
        <w:rPr>
          <w:rFonts w:ascii="Simplified Arabic" w:eastAsia="Times New Roman" w:hAnsi="Simplified Arabic" w:cs="Simplified Arabic"/>
          <w:sz w:val="28"/>
          <w:szCs w:val="28"/>
          <w:rtl/>
        </w:rPr>
        <w:t xml:space="preserve"> إختصام المؤجر للمستأجر و المستأجر من الباطن فى دعواه بالإخلاء تصدى المستأجر من الباطن للدعوى طالبا رفضها وطعنه بالإستئناف على الحكم الصادر بالإخلاء إنفراده بالطعن </w:t>
      </w:r>
      <w:proofErr w:type="gramStart"/>
      <w:r w:rsidRPr="00690852">
        <w:rPr>
          <w:rFonts w:ascii="Simplified Arabic" w:eastAsia="Times New Roman" w:hAnsi="Simplified Arabic" w:cs="Simplified Arabic"/>
          <w:sz w:val="28"/>
          <w:szCs w:val="28"/>
          <w:rtl/>
        </w:rPr>
        <w:t>بالنقض .</w:t>
      </w:r>
      <w:proofErr w:type="gramEnd"/>
      <w:r w:rsidRPr="00690852">
        <w:rPr>
          <w:rFonts w:ascii="Simplified Arabic" w:eastAsia="Times New Roman" w:hAnsi="Simplified Arabic" w:cs="Simplified Arabic"/>
          <w:sz w:val="28"/>
          <w:szCs w:val="28"/>
          <w:rtl/>
        </w:rPr>
        <w:t xml:space="preserve"> صحيح .</w:t>
      </w:r>
    </w:p>
    <w:p w:rsidR="00690852" w:rsidRPr="00690852" w:rsidRDefault="00690852" w:rsidP="00690852">
      <w:pPr>
        <w:spacing w:after="0" w:line="240" w:lineRule="auto"/>
        <w:jc w:val="lowKashida"/>
        <w:rPr>
          <w:rFonts w:ascii="Simplified Arabic" w:eastAsia="Times New Roman" w:hAnsi="Simplified Arabic" w:cs="Simplified Arabic"/>
          <w:b/>
          <w:bCs/>
          <w:sz w:val="28"/>
          <w:szCs w:val="24"/>
        </w:rPr>
      </w:pPr>
    </w:p>
    <w:p w:rsidR="00690852" w:rsidRPr="00690852" w:rsidRDefault="00690852" w:rsidP="00690852">
      <w:pPr>
        <w:spacing w:after="0" w:line="240" w:lineRule="auto"/>
        <w:jc w:val="lowKashida"/>
        <w:rPr>
          <w:rFonts w:ascii="Times New Roman" w:eastAsia="Times New Roman" w:hAnsi="Times New Roman" w:cs="Simplified Arabic"/>
          <w:b/>
          <w:bCs/>
          <w:sz w:val="28"/>
          <w:szCs w:val="24"/>
          <w:rtl/>
        </w:rPr>
      </w:pPr>
    </w:p>
    <w:p w:rsidR="00690852" w:rsidRPr="00690852" w:rsidRDefault="00690852" w:rsidP="00690852">
      <w:pPr>
        <w:spacing w:after="0" w:line="240" w:lineRule="auto"/>
        <w:jc w:val="lowKashida"/>
        <w:rPr>
          <w:rFonts w:ascii="Simplified Arabic" w:eastAsia="Times New Roman" w:hAnsi="Simplified Arabic" w:cs="Simplified Arabic"/>
          <w:b/>
          <w:bCs/>
          <w:sz w:val="28"/>
          <w:szCs w:val="24"/>
        </w:rPr>
      </w:pPr>
      <w:r w:rsidRPr="00690852">
        <w:rPr>
          <w:rFonts w:ascii="Simplified Arabic" w:eastAsia="Times New Roman" w:hAnsi="Simplified Arabic" w:cs="Simplified Arabic"/>
          <w:b/>
          <w:bCs/>
          <w:sz w:val="32"/>
          <w:szCs w:val="32"/>
          <w:rtl/>
        </w:rPr>
        <w:t xml:space="preserve">(2) </w:t>
      </w:r>
      <w:r w:rsidRPr="00690852">
        <w:rPr>
          <w:rFonts w:ascii="Simplified Arabic" w:eastAsia="Times New Roman" w:hAnsi="Simplified Arabic" w:cs="Simplified Arabic"/>
          <w:b/>
          <w:bCs/>
          <w:sz w:val="28"/>
          <w:szCs w:val="24"/>
          <w:rtl/>
        </w:rPr>
        <w:t xml:space="preserve">   </w:t>
      </w:r>
      <w:r w:rsidRPr="00690852">
        <w:rPr>
          <w:rFonts w:ascii="Simplified Arabic" w:eastAsia="Times New Roman" w:hAnsi="Simplified Arabic" w:cs="Simplified Arabic"/>
          <w:b/>
          <w:bCs/>
          <w:sz w:val="28"/>
          <w:szCs w:val="28"/>
          <w:rtl/>
        </w:rPr>
        <w:t>إيجار</w:t>
      </w:r>
    </w:p>
    <w:p w:rsidR="00690852" w:rsidRPr="00690852" w:rsidRDefault="00690852" w:rsidP="00690852">
      <w:pPr>
        <w:spacing w:after="0" w:line="240" w:lineRule="auto"/>
        <w:jc w:val="lowKashida"/>
        <w:rPr>
          <w:rFonts w:ascii="Simplified Arabic" w:eastAsia="Times New Roman" w:hAnsi="Simplified Arabic" w:cs="Simplified Arabic"/>
          <w:b/>
          <w:bCs/>
          <w:sz w:val="28"/>
          <w:szCs w:val="24"/>
          <w:rtl/>
        </w:rPr>
      </w:pPr>
    </w:p>
    <w:p w:rsidR="00690852" w:rsidRPr="00690852" w:rsidRDefault="00690852" w:rsidP="00690852">
      <w:pPr>
        <w:spacing w:after="0" w:line="240" w:lineRule="auto"/>
        <w:jc w:val="lowKashida"/>
        <w:rPr>
          <w:rFonts w:ascii="Times New Roman" w:eastAsia="Times New Roman" w:hAnsi="Times New Roman" w:cs="Simplified Arabic"/>
          <w:b/>
          <w:bCs/>
          <w:sz w:val="28"/>
          <w:szCs w:val="24"/>
          <w:rtl/>
        </w:rPr>
      </w:pPr>
      <w:r w:rsidRPr="00690852">
        <w:rPr>
          <w:rFonts w:ascii="Simplified Arabic" w:eastAsia="Times New Roman" w:hAnsi="Simplified Arabic" w:cs="Simplified Arabic"/>
          <w:b/>
          <w:bCs/>
          <w:sz w:val="32"/>
          <w:szCs w:val="32"/>
          <w:rtl/>
        </w:rPr>
        <w:t xml:space="preserve">(3) </w:t>
      </w:r>
      <w:r w:rsidRPr="00690852">
        <w:rPr>
          <w:rFonts w:ascii="Simplified Arabic" w:eastAsia="Times New Roman" w:hAnsi="Simplified Arabic" w:cs="Simplified Arabic"/>
          <w:b/>
          <w:bCs/>
          <w:sz w:val="28"/>
          <w:szCs w:val="24"/>
          <w:rtl/>
        </w:rPr>
        <w:t xml:space="preserve">    </w:t>
      </w:r>
      <w:r w:rsidRPr="00690852">
        <w:rPr>
          <w:rFonts w:ascii="Simplified Arabic" w:eastAsia="Times New Roman" w:hAnsi="Simplified Arabic" w:cs="Simplified Arabic"/>
          <w:b/>
          <w:bCs/>
          <w:sz w:val="28"/>
          <w:szCs w:val="28"/>
          <w:rtl/>
        </w:rPr>
        <w:t>إيجار</w:t>
      </w:r>
    </w:p>
    <w:p w:rsidR="00690852" w:rsidRPr="00690852" w:rsidRDefault="00690852" w:rsidP="00690852">
      <w:pPr>
        <w:spacing w:after="0" w:line="240" w:lineRule="auto"/>
        <w:jc w:val="lowKashida"/>
        <w:rPr>
          <w:rFonts w:ascii="Times New Roman" w:eastAsia="Times New Roman" w:hAnsi="Times New Roman" w:cs="Simplified Arabic"/>
          <w:sz w:val="28"/>
          <w:szCs w:val="28"/>
        </w:rPr>
      </w:pPr>
      <w:r w:rsidRPr="00690852">
        <w:rPr>
          <w:rFonts w:ascii="Times New Roman" w:eastAsia="Times New Roman" w:hAnsi="Times New Roman" w:cs="Simplified Arabic"/>
          <w:sz w:val="28"/>
          <w:szCs w:val="28"/>
        </w:rPr>
        <w:t>-</w:t>
      </w:r>
      <w:r w:rsidRPr="00690852">
        <w:rPr>
          <w:rFonts w:ascii="Simplified Arabic" w:eastAsia="Times New Roman" w:hAnsi="Simplified Arabic" w:cs="Simplified Arabic"/>
          <w:sz w:val="28"/>
          <w:szCs w:val="28"/>
          <w:rtl/>
        </w:rPr>
        <w:t xml:space="preserve"> حوالة البائع عقود إيجار العقار المبيع للمشترى ونفاذها فى حق المستأجرين بإعلانهم </w:t>
      </w:r>
      <w:proofErr w:type="gramStart"/>
      <w:r w:rsidRPr="00690852">
        <w:rPr>
          <w:rFonts w:ascii="Simplified Arabic" w:eastAsia="Times New Roman" w:hAnsi="Simplified Arabic" w:cs="Simplified Arabic"/>
          <w:sz w:val="28"/>
          <w:szCs w:val="28"/>
          <w:rtl/>
        </w:rPr>
        <w:t>بها .</w:t>
      </w:r>
      <w:proofErr w:type="gramEnd"/>
      <w:r w:rsidRPr="00690852">
        <w:rPr>
          <w:rFonts w:ascii="Simplified Arabic" w:eastAsia="Times New Roman" w:hAnsi="Simplified Arabic" w:cs="Simplified Arabic"/>
          <w:sz w:val="28"/>
          <w:szCs w:val="28"/>
          <w:rtl/>
        </w:rPr>
        <w:t xml:space="preserve"> أثره . للمشترى حق إقامة دعوى الإخلاء للتأجير من الباطن .</w:t>
      </w:r>
    </w:p>
    <w:p w:rsidR="00690852" w:rsidRPr="00690852" w:rsidRDefault="00690852" w:rsidP="00690852">
      <w:pPr>
        <w:spacing w:after="0" w:line="240" w:lineRule="auto"/>
        <w:jc w:val="lowKashida"/>
        <w:rPr>
          <w:rFonts w:ascii="Simplified Arabic" w:eastAsia="Times New Roman" w:hAnsi="Simplified Arabic" w:cs="Simplified Arabic"/>
          <w:b/>
          <w:bCs/>
          <w:sz w:val="28"/>
          <w:szCs w:val="24"/>
        </w:rPr>
      </w:pPr>
    </w:p>
    <w:p w:rsidR="00690852" w:rsidRPr="00690852" w:rsidRDefault="00690852" w:rsidP="00690852">
      <w:pPr>
        <w:spacing w:after="0" w:line="240" w:lineRule="auto"/>
        <w:jc w:val="lowKashida"/>
        <w:rPr>
          <w:rFonts w:ascii="Times New Roman" w:eastAsia="Times New Roman" w:hAnsi="Times New Roman" w:cs="Simplified Arabic"/>
          <w:b/>
          <w:bCs/>
          <w:sz w:val="28"/>
          <w:szCs w:val="24"/>
          <w:rtl/>
        </w:rPr>
      </w:pPr>
      <w:r w:rsidRPr="00690852">
        <w:rPr>
          <w:rFonts w:ascii="Simplified Arabic" w:eastAsia="Times New Roman" w:hAnsi="Simplified Arabic" w:cs="Simplified Arabic"/>
          <w:b/>
          <w:bCs/>
          <w:sz w:val="32"/>
          <w:szCs w:val="32"/>
          <w:rtl/>
        </w:rPr>
        <w:t xml:space="preserve">(4) </w:t>
      </w:r>
      <w:r w:rsidRPr="00690852">
        <w:rPr>
          <w:rFonts w:ascii="Simplified Arabic" w:eastAsia="Times New Roman" w:hAnsi="Simplified Arabic" w:cs="Simplified Arabic"/>
          <w:b/>
          <w:bCs/>
          <w:sz w:val="28"/>
          <w:szCs w:val="24"/>
          <w:rtl/>
        </w:rPr>
        <w:t xml:space="preserve">   </w:t>
      </w:r>
      <w:r w:rsidRPr="00690852">
        <w:rPr>
          <w:rFonts w:ascii="Simplified Arabic" w:eastAsia="Times New Roman" w:hAnsi="Simplified Arabic" w:cs="Simplified Arabic"/>
          <w:b/>
          <w:bCs/>
          <w:sz w:val="28"/>
          <w:szCs w:val="28"/>
          <w:rtl/>
        </w:rPr>
        <w:t>إيجار</w:t>
      </w:r>
    </w:p>
    <w:p w:rsidR="00690852" w:rsidRPr="00690852" w:rsidRDefault="00690852" w:rsidP="00690852">
      <w:pPr>
        <w:spacing w:after="0" w:line="240" w:lineRule="auto"/>
        <w:jc w:val="lowKashida"/>
        <w:rPr>
          <w:rFonts w:ascii="Times New Roman" w:eastAsia="Times New Roman" w:hAnsi="Times New Roman" w:cs="Simplified Arabic"/>
          <w:sz w:val="28"/>
          <w:szCs w:val="28"/>
        </w:rPr>
      </w:pPr>
      <w:r w:rsidRPr="00690852">
        <w:rPr>
          <w:rFonts w:ascii="Times New Roman" w:eastAsia="Times New Roman" w:hAnsi="Times New Roman" w:cs="Simplified Arabic"/>
          <w:sz w:val="28"/>
          <w:szCs w:val="28"/>
        </w:rPr>
        <w:t>-</w:t>
      </w:r>
      <w:r w:rsidRPr="00690852">
        <w:rPr>
          <w:rFonts w:ascii="Simplified Arabic" w:eastAsia="Times New Roman" w:hAnsi="Simplified Arabic" w:cs="Simplified Arabic"/>
          <w:sz w:val="28"/>
          <w:szCs w:val="28"/>
          <w:rtl/>
        </w:rPr>
        <w:t xml:space="preserve"> جواز إبقاء الإيجار فى حالة بيع المتجر أو المصنع بالجدك م 594 / 2 </w:t>
      </w:r>
      <w:proofErr w:type="gramStart"/>
      <w:r w:rsidRPr="00690852">
        <w:rPr>
          <w:rFonts w:ascii="Simplified Arabic" w:eastAsia="Times New Roman" w:hAnsi="Simplified Arabic" w:cs="Simplified Arabic"/>
          <w:sz w:val="28"/>
          <w:szCs w:val="28"/>
          <w:rtl/>
        </w:rPr>
        <w:t>مدنى .</w:t>
      </w:r>
      <w:proofErr w:type="gramEnd"/>
      <w:r w:rsidRPr="00690852">
        <w:rPr>
          <w:rFonts w:ascii="Simplified Arabic" w:eastAsia="Times New Roman" w:hAnsi="Simplified Arabic" w:cs="Simplified Arabic"/>
          <w:sz w:val="28"/>
          <w:szCs w:val="28"/>
          <w:rtl/>
        </w:rPr>
        <w:t xml:space="preserve"> إستثناء من الأصل العام لا محل لأعماله فى حالة تأجير الجدك من الباطن .</w:t>
      </w:r>
    </w:p>
    <w:p w:rsidR="00690852" w:rsidRPr="00690852" w:rsidRDefault="00690852" w:rsidP="00690852">
      <w:pPr>
        <w:spacing w:after="0" w:line="240" w:lineRule="auto"/>
        <w:jc w:val="lowKashida"/>
        <w:rPr>
          <w:rFonts w:ascii="Times New Roman" w:eastAsia="Times New Roman" w:hAnsi="Times New Roman" w:cs="Simplified Arabic"/>
          <w:b/>
          <w:bCs/>
          <w:sz w:val="28"/>
          <w:szCs w:val="24"/>
        </w:rPr>
      </w:pPr>
    </w:p>
    <w:p w:rsidR="00690852" w:rsidRPr="00690852" w:rsidRDefault="00690852" w:rsidP="00690852">
      <w:pPr>
        <w:spacing w:after="0" w:line="240" w:lineRule="auto"/>
        <w:jc w:val="lowKashida"/>
        <w:rPr>
          <w:rFonts w:ascii="Simplified Arabic" w:eastAsia="Times New Roman" w:hAnsi="Simplified Arabic" w:cs="Simplified Arabic"/>
          <w:b/>
          <w:bCs/>
          <w:sz w:val="28"/>
          <w:szCs w:val="24"/>
        </w:rPr>
      </w:pPr>
    </w:p>
    <w:p w:rsidR="00690852" w:rsidRPr="00690852" w:rsidRDefault="00690852" w:rsidP="00690852">
      <w:pPr>
        <w:spacing w:after="0" w:line="240" w:lineRule="auto"/>
        <w:jc w:val="center"/>
        <w:rPr>
          <w:rFonts w:ascii="Times New Roman" w:eastAsia="Times New Roman" w:hAnsi="Times New Roman" w:cs="PT Bold Heading"/>
          <w:b/>
          <w:bCs/>
          <w:color w:val="008000"/>
          <w:sz w:val="32"/>
          <w:szCs w:val="32"/>
          <w:rtl/>
          <w:lang w:eastAsia="ar-SA"/>
        </w:rPr>
      </w:pPr>
      <w:r w:rsidRPr="00690852">
        <w:rPr>
          <w:rFonts w:ascii="Times New Roman" w:eastAsia="Times New Roman" w:hAnsi="Times New Roman" w:cs="PT Bold Heading" w:hint="cs"/>
          <w:b/>
          <w:bCs/>
          <w:color w:val="008000"/>
          <w:sz w:val="32"/>
          <w:szCs w:val="32"/>
          <w:rtl/>
          <w:lang w:eastAsia="ar-SA"/>
        </w:rPr>
        <w:t>القاعدة</w:t>
      </w:r>
    </w:p>
    <w:p w:rsidR="00690852" w:rsidRPr="00690852" w:rsidRDefault="00690852" w:rsidP="00690852">
      <w:pPr>
        <w:spacing w:after="0" w:line="240" w:lineRule="auto"/>
        <w:jc w:val="lowKashida"/>
        <w:rPr>
          <w:rFonts w:ascii="Times New Roman" w:eastAsia="Times New Roman" w:hAnsi="Times New Roman" w:cs="Simplified Arabic" w:hint="cs"/>
          <w:sz w:val="28"/>
          <w:szCs w:val="28"/>
          <w:rtl/>
        </w:rPr>
      </w:pPr>
      <w:r w:rsidRPr="00690852">
        <w:rPr>
          <w:rFonts w:ascii="Simplified Arabic" w:eastAsia="Times New Roman" w:hAnsi="Simplified Arabic" w:cs="Simplified Arabic"/>
          <w:sz w:val="28"/>
          <w:szCs w:val="28"/>
          <w:rtl/>
        </w:rPr>
        <w:t xml:space="preserve">1- من المقرر فى قضاء هذه المحكمة أنه يجوز الطعن من كل من كان طرفاً فى الخصومة التى صدر فيها الحكم المطعون فيه و لم يتخلف عن منازعته مع خصمه حتى صدر الحكم ضده و إذ كان البين من الأوراق أن الطاعن لم يقف من الخصومة التى كان طرفاً فيها موقفا سلبياً ، بل طلب رفض دعوى الإخلاء الموجهة إليه و مورث المطعون عليهم - الثانية إلى الأخير ، و إذ صدر الحكم بالإخلاء طعن فيه بالإستئناف طالباً إلغاءه لأسباب متعلقة به و تتسنى له حقاً مباشراً فى إستئجار العين المؤجرة من بينها شراؤه لها بالجدك ، و لم يتخل عن منازعته حتى صدور الحكم المطعون فيه فإنه يكون من ثم خصماً حقيقياً تتوافر له المصلحة فى الطعن فى الحكم بغض النظر عن عدم طعن ورثة المستأجر الأصلى فيه . </w:t>
      </w:r>
    </w:p>
    <w:p w:rsidR="00690852" w:rsidRPr="00690852" w:rsidRDefault="00690852" w:rsidP="00690852">
      <w:pPr>
        <w:spacing w:after="0" w:line="240" w:lineRule="auto"/>
        <w:jc w:val="lowKashida"/>
        <w:rPr>
          <w:rFonts w:ascii="Times New Roman" w:eastAsia="Times New Roman" w:hAnsi="Times New Roman" w:cs="Simplified Arabic"/>
          <w:sz w:val="28"/>
          <w:szCs w:val="28"/>
        </w:rPr>
      </w:pPr>
    </w:p>
    <w:p w:rsidR="00690852" w:rsidRPr="00690852" w:rsidRDefault="00690852" w:rsidP="00690852">
      <w:pPr>
        <w:spacing w:after="0" w:line="240" w:lineRule="auto"/>
        <w:jc w:val="lowKashida"/>
        <w:rPr>
          <w:rFonts w:ascii="Times New Roman" w:eastAsia="Times New Roman" w:hAnsi="Times New Roman" w:cs="Simplified Arabic"/>
          <w:sz w:val="28"/>
          <w:szCs w:val="28"/>
        </w:rPr>
      </w:pPr>
      <w:r w:rsidRPr="00690852">
        <w:rPr>
          <w:rFonts w:ascii="Simplified Arabic" w:eastAsia="Times New Roman" w:hAnsi="Simplified Arabic" w:cs="Simplified Arabic"/>
          <w:sz w:val="28"/>
          <w:szCs w:val="28"/>
          <w:rtl/>
        </w:rPr>
        <w:lastRenderedPageBreak/>
        <w:t>2- النص فى المادة 63 من قانون الإثبات على أنه " يجوز كذلك الإثبات بشهادة الشهود فيما كان يجب إثباته بدليل كتابى ........... "ب" إذا فقد الدائن سنده الكتابى بسبب أجنبى لا يد له فيه " يدل على أن المشرع إستهدف مواجهة حالة ما إذا كانت القواعد المتعلقة بإستلزام الحصول على الدليل الكتابى الكامل قد روعيت ، بيد أن الإثبات بالكتابة قد إمتنع بسبب فقد هذا الدليل فيجوز عندئذ أن تحل شهادة الشهود محل الدليل الكتابى ، شريطة أن يكون هذا الفقد راجعاً إلى سبب لا يد للمدعى فيه و مؤدى هذا أن يكون الفقد قد نشأ من جراء حادث جدى أو قوة قاهرة ، فتستبعد إذن صور الفقد بسبب يتصل بفعل مدعى الدليل - و لو كان خطأ أو إهمالاً - بقطع السبيل إلى التواطؤ مع الشهود .</w:t>
      </w:r>
    </w:p>
    <w:p w:rsidR="00690852" w:rsidRPr="00690852" w:rsidRDefault="00690852" w:rsidP="00690852">
      <w:pPr>
        <w:spacing w:after="0" w:line="240" w:lineRule="auto"/>
        <w:jc w:val="lowKashida"/>
        <w:rPr>
          <w:rFonts w:ascii="Times New Roman" w:eastAsia="Times New Roman" w:hAnsi="Times New Roman" w:cs="Simplified Arabic"/>
          <w:sz w:val="28"/>
          <w:szCs w:val="28"/>
        </w:rPr>
      </w:pPr>
    </w:p>
    <w:p w:rsidR="00690852" w:rsidRPr="00690852" w:rsidRDefault="00690852" w:rsidP="00690852">
      <w:pPr>
        <w:spacing w:after="0" w:line="240" w:lineRule="auto"/>
        <w:jc w:val="lowKashida"/>
        <w:rPr>
          <w:rFonts w:ascii="Times New Roman" w:eastAsia="Times New Roman" w:hAnsi="Times New Roman" w:cs="Simplified Arabic"/>
          <w:sz w:val="28"/>
          <w:szCs w:val="28"/>
        </w:rPr>
      </w:pPr>
      <w:r w:rsidRPr="00690852">
        <w:rPr>
          <w:rFonts w:ascii="Simplified Arabic" w:eastAsia="Times New Roman" w:hAnsi="Simplified Arabic" w:cs="Simplified Arabic"/>
          <w:sz w:val="28"/>
          <w:szCs w:val="28"/>
          <w:rtl/>
        </w:rPr>
        <w:t>3- المقرر أنه إذا بيعت العين المؤجرة و حول المالك البائع عقد إيجارها إلى المشترى كان ذلك كافياً لتخويل الأخير حق رفع دعوى الإخلاء بإسمه . على المستأجر بسبب التأجير من الباطن ، ذلك أنه إذا كانت الحوالة نافذة فى حق المدين لإعلانه بها فإنه للمحال له أن يقاضيه فى شأن الحقوق المحال بها دون حاجة إلى إختصام المحيل لأن الحق المحال به ينتقل إلى المحال له مع الدعاوى التى تؤكده . لما كان ذلك و كان الثابت فى الدعوى أن ممثل المالك البائع لعين النزاع قد حول إلى مشتريها - المطعون عليه الأول - عقد تأجيرها إلى مورث المطعون عليهم من الثانية إلى الأخير ، و كان قد تم إعلان المستأجر الأصلى بهذه الحوالة بمقتضى إعلانه بصحيفة إفتتاح الدعوى الماثلة مما يجعل الحوالة نافذة قبله تطبيقاً لنص المادة 315 من القانون المدنى ، و قبل المستأجر من باطنه - الطاعن - بحكم تلقيه الحق فى الإيجار منه ، و ينتقل بذلك إلى المطعون عليه الأول الحق المحال به شاملاً حقه فى إقامة دعوى الأخلاء للتأجير من الباطن ، فإن الدعوى تكون بذلك قد أقيمت من ذى صفة .</w:t>
      </w:r>
    </w:p>
    <w:p w:rsidR="00690852" w:rsidRPr="00690852" w:rsidRDefault="00690852" w:rsidP="00690852">
      <w:pPr>
        <w:spacing w:after="0" w:line="240" w:lineRule="auto"/>
        <w:jc w:val="lowKashida"/>
        <w:rPr>
          <w:rFonts w:ascii="Times New Roman" w:eastAsia="Times New Roman" w:hAnsi="Times New Roman" w:cs="Simplified Arabic"/>
          <w:sz w:val="28"/>
          <w:szCs w:val="28"/>
        </w:rPr>
      </w:pPr>
    </w:p>
    <w:p w:rsidR="00690852" w:rsidRPr="00690852" w:rsidRDefault="00690852" w:rsidP="00690852">
      <w:pPr>
        <w:spacing w:after="0" w:line="240" w:lineRule="auto"/>
        <w:jc w:val="lowKashida"/>
        <w:rPr>
          <w:rFonts w:ascii="Times New Roman" w:eastAsia="Times New Roman" w:hAnsi="Times New Roman" w:cs="Simplified Arabic"/>
          <w:sz w:val="28"/>
          <w:szCs w:val="28"/>
        </w:rPr>
      </w:pPr>
      <w:r w:rsidRPr="00690852">
        <w:rPr>
          <w:rFonts w:ascii="Simplified Arabic" w:eastAsia="Times New Roman" w:hAnsi="Simplified Arabic" w:cs="Simplified Arabic"/>
          <w:sz w:val="28"/>
          <w:szCs w:val="28"/>
          <w:rtl/>
        </w:rPr>
        <w:t>4- مؤدى نص الفقرة الثانية من المادة 594 من القانون المدنى ، أن الحكم الوارد بها إستثناء من الأصل العام ، و أن مجال إعماله مقصور على الحالة التى تقوم فيها لدى المستأجر ضرورة تفرض عليه بيع المصنع أو المتجر الذى أنشأه فى العقار المؤجر إليه مع قيام الشرط المانع من التأجير من الباطن أو التنازل عن الإيجار ، و ذلك بهدف تسهيل البيع الإضطرارى للمحل ، الأمر المنتفى فى حالة إحتفاظ المستأجر بالمحل و إستغلاله له بطريق تأجيره إلى الغير ، و إذ كان الإستثناء لا يجوز التوسع فيه فإنه لا وجه لإعمال حكم المادة 2-594 آنف الذكر على حالة تأجير المحل من الباطن .</w:t>
      </w:r>
    </w:p>
    <w:p w:rsidR="00690852" w:rsidRPr="00690852" w:rsidRDefault="00690852" w:rsidP="00690852">
      <w:pPr>
        <w:spacing w:after="0" w:line="240" w:lineRule="auto"/>
        <w:jc w:val="lowKashida"/>
        <w:rPr>
          <w:rFonts w:ascii="Times New Roman" w:eastAsia="Times New Roman" w:hAnsi="Times New Roman" w:cs="Simplified Arabic"/>
          <w:sz w:val="28"/>
          <w:szCs w:val="28"/>
        </w:rPr>
      </w:pPr>
    </w:p>
    <w:p w:rsidR="00690852" w:rsidRPr="00690852" w:rsidRDefault="00690852" w:rsidP="00690852">
      <w:pPr>
        <w:spacing w:after="0" w:line="240" w:lineRule="auto"/>
        <w:jc w:val="center"/>
        <w:rPr>
          <w:rFonts w:ascii="Times New Roman" w:eastAsia="Times New Roman" w:hAnsi="Times New Roman" w:cs="Simplified Arabic"/>
          <w:sz w:val="24"/>
          <w:szCs w:val="24"/>
        </w:rPr>
      </w:pPr>
      <w:r w:rsidRPr="00690852">
        <w:rPr>
          <w:rFonts w:ascii="Simplified Arabic" w:eastAsia="Times New Roman" w:hAnsi="Simplified Arabic" w:cs="Simplified Arabic"/>
          <w:sz w:val="24"/>
          <w:szCs w:val="24"/>
          <w:rtl/>
        </w:rPr>
        <w:t>" سنة المكتب الفنى "  30 " رقم الصفحة -  40-  قاعدة رقم –   -  "</w:t>
      </w:r>
    </w:p>
    <w:p w:rsidR="00690852" w:rsidRPr="00690852" w:rsidRDefault="00690852" w:rsidP="00690852">
      <w:pPr>
        <w:spacing w:after="0" w:line="240" w:lineRule="auto"/>
        <w:rPr>
          <w:rFonts w:ascii="Times New Roman" w:eastAsia="Times New Roman" w:hAnsi="Times New Roman" w:cs="Times New Roman"/>
          <w:sz w:val="24"/>
          <w:szCs w:val="24"/>
        </w:rPr>
      </w:pPr>
    </w:p>
    <w:p w:rsidR="003E5EDE" w:rsidRPr="00690852" w:rsidRDefault="003E5EDE">
      <w:bookmarkStart w:id="0" w:name="_GoBack"/>
      <w:bookmarkEnd w:id="0"/>
    </w:p>
    <w:sectPr w:rsidR="003E5EDE" w:rsidRPr="0069085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5F"/>
    <w:rsid w:val="0003272B"/>
    <w:rsid w:val="003E5EDE"/>
    <w:rsid w:val="004B7F5F"/>
    <w:rsid w:val="00690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4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2020-06-03T14:09:00Z</dcterms:created>
  <dcterms:modified xsi:type="dcterms:W3CDTF">2020-06-03T14:10:00Z</dcterms:modified>
</cp:coreProperties>
</file>