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8B" w:rsidRPr="00EC7F8B" w:rsidRDefault="00EC7F8B" w:rsidP="00EC7F8B">
      <w:pPr>
        <w:spacing w:after="0" w:line="240" w:lineRule="auto"/>
        <w:jc w:val="center"/>
        <w:rPr>
          <w:rFonts w:ascii="Times New Roman" w:eastAsia="Times New Roman" w:hAnsi="Times New Roman" w:cs="PT Bold Heading"/>
          <w:b/>
          <w:bCs/>
          <w:color w:val="008000"/>
          <w:sz w:val="32"/>
          <w:szCs w:val="32"/>
          <w:lang w:eastAsia="ar-SA"/>
        </w:rPr>
      </w:pPr>
      <w:r w:rsidRPr="00EC7F8B">
        <w:rPr>
          <w:rFonts w:ascii="Times New Roman" w:eastAsia="Times New Roman" w:hAnsi="Times New Roman" w:cs="PT Bold Heading" w:hint="cs"/>
          <w:b/>
          <w:bCs/>
          <w:color w:val="008000"/>
          <w:sz w:val="32"/>
          <w:szCs w:val="32"/>
          <w:rtl/>
          <w:lang w:eastAsia="ar-SA"/>
        </w:rPr>
        <w:t>الطعن رقم 695 لسنة 41 ق ، جلسة1 -1-1979</w:t>
      </w:r>
    </w:p>
    <w:p w:rsidR="00EC7F8B" w:rsidRPr="00EC7F8B" w:rsidRDefault="00EC7F8B" w:rsidP="00EC7F8B">
      <w:pPr>
        <w:spacing w:after="0" w:line="240" w:lineRule="auto"/>
        <w:jc w:val="center"/>
        <w:rPr>
          <w:rFonts w:ascii="Times New Roman" w:eastAsia="Times New Roman" w:hAnsi="Times New Roman" w:cs="PT Bold Heading"/>
          <w:b/>
          <w:bCs/>
          <w:color w:val="008000"/>
          <w:sz w:val="32"/>
          <w:szCs w:val="32"/>
          <w:lang w:eastAsia="ar-SA"/>
        </w:rPr>
      </w:pPr>
      <w:r w:rsidRPr="00EC7F8B">
        <w:rPr>
          <w:rFonts w:ascii="Times New Roman" w:eastAsia="Times New Roman" w:hAnsi="Times New Roman" w:cs="PT Bold Heading" w:hint="cs"/>
          <w:b/>
          <w:bCs/>
          <w:color w:val="008000"/>
          <w:sz w:val="32"/>
          <w:szCs w:val="32"/>
          <w:rtl/>
          <w:lang w:eastAsia="ar-SA"/>
        </w:rPr>
        <w:t>الموضوع ،  و  الموجز :</w:t>
      </w:r>
    </w:p>
    <w:p w:rsidR="00EC7F8B" w:rsidRPr="00EC7F8B" w:rsidRDefault="00EC7F8B" w:rsidP="00EC7F8B">
      <w:pPr>
        <w:spacing w:after="0" w:line="240" w:lineRule="auto"/>
        <w:jc w:val="lowKashida"/>
        <w:rPr>
          <w:rFonts w:ascii="Times New Roman" w:eastAsia="Times New Roman" w:hAnsi="Times New Roman" w:cs="Simplified Arabic"/>
          <w:b/>
          <w:bCs/>
          <w:sz w:val="32"/>
          <w:szCs w:val="32"/>
        </w:rPr>
      </w:pPr>
    </w:p>
    <w:p w:rsidR="00EC7F8B" w:rsidRPr="00EC7F8B" w:rsidRDefault="00EC7F8B" w:rsidP="00EC7F8B">
      <w:pPr>
        <w:spacing w:after="0" w:line="240" w:lineRule="auto"/>
        <w:jc w:val="lowKashida"/>
        <w:rPr>
          <w:rFonts w:ascii="Times New Roman" w:eastAsia="Times New Roman" w:hAnsi="Times New Roman" w:cs="Simplified Arabic"/>
          <w:b/>
          <w:bCs/>
          <w:sz w:val="28"/>
          <w:szCs w:val="28"/>
        </w:rPr>
      </w:pPr>
      <w:r w:rsidRPr="00EC7F8B">
        <w:rPr>
          <w:rFonts w:ascii="Simplified Arabic" w:eastAsia="Times New Roman" w:hAnsi="Simplified Arabic" w:cs="Simplified Arabic"/>
          <w:b/>
          <w:bCs/>
          <w:sz w:val="32"/>
          <w:szCs w:val="32"/>
          <w:rtl/>
        </w:rPr>
        <w:t xml:space="preserve">(1) </w:t>
      </w:r>
      <w:r w:rsidRPr="00EC7F8B">
        <w:rPr>
          <w:rFonts w:ascii="Simplified Arabic" w:eastAsia="Times New Roman" w:hAnsi="Simplified Arabic" w:cs="Simplified Arabic"/>
          <w:b/>
          <w:bCs/>
          <w:sz w:val="28"/>
          <w:szCs w:val="24"/>
          <w:rtl/>
        </w:rPr>
        <w:t xml:space="preserve">   </w:t>
      </w:r>
      <w:r w:rsidRPr="00EC7F8B">
        <w:rPr>
          <w:rFonts w:ascii="Simplified Arabic" w:eastAsia="Times New Roman" w:hAnsi="Simplified Arabic" w:cs="Simplified Arabic"/>
          <w:b/>
          <w:bCs/>
          <w:sz w:val="28"/>
          <w:szCs w:val="28"/>
          <w:rtl/>
        </w:rPr>
        <w:t>جمارك</w:t>
      </w:r>
    </w:p>
    <w:p w:rsidR="00EC7F8B" w:rsidRPr="00EC7F8B" w:rsidRDefault="00EC7F8B" w:rsidP="00EC7F8B">
      <w:pPr>
        <w:spacing w:after="0" w:line="240" w:lineRule="auto"/>
        <w:jc w:val="lowKashida"/>
        <w:rPr>
          <w:rFonts w:ascii="Times New Roman" w:eastAsia="Times New Roman" w:hAnsi="Times New Roman" w:cs="Simplified Arabic"/>
          <w:sz w:val="28"/>
          <w:szCs w:val="28"/>
        </w:rPr>
      </w:pPr>
      <w:r w:rsidRPr="00EC7F8B">
        <w:rPr>
          <w:rFonts w:ascii="Times New Roman" w:eastAsia="Times New Roman" w:hAnsi="Times New Roman" w:cs="Simplified Arabic"/>
          <w:sz w:val="28"/>
          <w:szCs w:val="28"/>
        </w:rPr>
        <w:t>-</w:t>
      </w:r>
      <w:r w:rsidRPr="00EC7F8B">
        <w:rPr>
          <w:rFonts w:ascii="Simplified Arabic" w:eastAsia="Times New Roman" w:hAnsi="Simplified Arabic" w:cs="Simplified Arabic"/>
          <w:sz w:val="28"/>
          <w:szCs w:val="28"/>
          <w:rtl/>
        </w:rPr>
        <w:t xml:space="preserve"> الإعفاء الجمركي للعاملين بالحكومة المنتدبين والمعارين للخارج ق 76 لسنة 1968 ورود الإعفاء على قيمة الأمتعة والأثاث والسيارات خصم مبلغ الإعفاء من الرسوم الجمركية المستحقة عليها وليس من قيمتها خطأ فى </w:t>
      </w:r>
      <w:proofErr w:type="gramStart"/>
      <w:r w:rsidRPr="00EC7F8B">
        <w:rPr>
          <w:rFonts w:ascii="Simplified Arabic" w:eastAsia="Times New Roman" w:hAnsi="Simplified Arabic" w:cs="Simplified Arabic"/>
          <w:sz w:val="28"/>
          <w:szCs w:val="28"/>
          <w:rtl/>
        </w:rPr>
        <w:t>القانون .</w:t>
      </w:r>
      <w:proofErr w:type="gramEnd"/>
    </w:p>
    <w:p w:rsidR="00EC7F8B" w:rsidRPr="00EC7F8B" w:rsidRDefault="00EC7F8B" w:rsidP="00EC7F8B">
      <w:pPr>
        <w:spacing w:after="0" w:line="240" w:lineRule="auto"/>
        <w:jc w:val="lowKashida"/>
        <w:rPr>
          <w:rFonts w:ascii="Simplified Arabic" w:eastAsia="Times New Roman" w:hAnsi="Simplified Arabic" w:cs="Simplified Arabic"/>
          <w:b/>
          <w:bCs/>
          <w:sz w:val="28"/>
          <w:szCs w:val="24"/>
        </w:rPr>
      </w:pPr>
    </w:p>
    <w:p w:rsidR="00EC7F8B" w:rsidRPr="00EC7F8B" w:rsidRDefault="00EC7F8B" w:rsidP="00EC7F8B">
      <w:pPr>
        <w:spacing w:after="0" w:line="240" w:lineRule="auto"/>
        <w:jc w:val="lowKashida"/>
        <w:rPr>
          <w:rFonts w:ascii="Times New Roman" w:eastAsia="Times New Roman" w:hAnsi="Times New Roman" w:cs="Simplified Arabic"/>
          <w:b/>
          <w:bCs/>
          <w:sz w:val="28"/>
          <w:szCs w:val="24"/>
          <w:rtl/>
        </w:rPr>
      </w:pPr>
    </w:p>
    <w:p w:rsidR="00EC7F8B" w:rsidRPr="00EC7F8B" w:rsidRDefault="00EC7F8B" w:rsidP="00EC7F8B">
      <w:pPr>
        <w:spacing w:after="0" w:line="240" w:lineRule="auto"/>
        <w:jc w:val="center"/>
        <w:rPr>
          <w:rFonts w:ascii="Times New Roman" w:eastAsia="Times New Roman" w:hAnsi="Times New Roman" w:cs="PT Bold Heading"/>
          <w:b/>
          <w:bCs/>
          <w:color w:val="008000"/>
          <w:sz w:val="32"/>
          <w:szCs w:val="32"/>
          <w:lang w:eastAsia="ar-SA"/>
        </w:rPr>
      </w:pPr>
      <w:r w:rsidRPr="00EC7F8B">
        <w:rPr>
          <w:rFonts w:ascii="Times New Roman" w:eastAsia="Times New Roman" w:hAnsi="Times New Roman" w:cs="PT Bold Heading" w:hint="cs"/>
          <w:b/>
          <w:bCs/>
          <w:color w:val="008000"/>
          <w:sz w:val="32"/>
          <w:szCs w:val="32"/>
          <w:rtl/>
          <w:lang w:eastAsia="ar-SA"/>
        </w:rPr>
        <w:t>القاعدة</w:t>
      </w:r>
    </w:p>
    <w:p w:rsidR="00EC7F8B" w:rsidRPr="00EC7F8B" w:rsidRDefault="00EC7F8B" w:rsidP="00EC7F8B">
      <w:pPr>
        <w:spacing w:after="0" w:line="240" w:lineRule="auto"/>
        <w:jc w:val="lowKashida"/>
        <w:rPr>
          <w:rFonts w:ascii="Times New Roman" w:eastAsia="Times New Roman" w:hAnsi="Times New Roman" w:cs="Simplified Arabic" w:hint="cs"/>
          <w:sz w:val="28"/>
          <w:szCs w:val="28"/>
          <w:rtl/>
        </w:rPr>
      </w:pPr>
      <w:r w:rsidRPr="00EC7F8B">
        <w:rPr>
          <w:rFonts w:ascii="Simplified Arabic" w:eastAsia="Times New Roman" w:hAnsi="Simplified Arabic" w:cs="Simplified Arabic"/>
          <w:sz w:val="28"/>
          <w:szCs w:val="28"/>
          <w:rtl/>
        </w:rPr>
        <w:t>1- نص القانون رقم 76 سنة 1968 فى شأن إعفاء أشخاص معينين من الرسوم الجمركية فى المادتين الأولى و الثالثة منه على أنه يعفى من الضرائب الجمركية و غيرها من الضرائب و الرسوم و الأمتعة الشخصية و الأثاث و سيارة واحدة  للمعارين و المنتدبين للعمل بالخارج من العاملين بالحكومة بشرط ألا تقل مدة عملهم بالخارج عن سنة واحدة و ألا تتجاوز قيمة الأشياء المتمتعة بالإعفاء مرتب شهرين عن كل عام أمضاه المعار فى الخارج بحد أقصى أما مرتب ثمانية أشهر أو مبلغ 150 جنيهاً فى الشهر على ألا يتجاوز قيمة الأشياء المتمتعة بالإعفا ء 800 جنيها مصرياً و مفاد ذلك أن الإعفاء الجمركى الذى قرره القانون المشار إليه إنما ينصب على قيمة ما يحضره المعار من أمتعة و أثاث و سيارة لدى عودته النهائية إلى وطنه بعد إنتهاء مدة إعارته بالخارج و ذلك فى حدود المبلغ الذى يتمتع بالإعفاء منه ، ما جاوزه تفرض عليه الرسوم الجمركية المقررة لما كان ذلك و كان الحكم المطعون فيه تفرض علية الرسوم الجمركية المقررة لما كان ذلك و كان الحكم المطعون فيه قد خالف هذا النظر و ساير الحكم الإبتدائى فيما ذهب إليه من خصم مبلغ الإعفاء من قيمة الرسوم الجمركية على السيارة التى أحضرها المطعون ضده معه عند عودته من الإعارة رغم نعى الطاعن فى السبب الثانى من أسباب الاستئناف على الحكم الإبتدائى بأنه خلط بين قيمة الأشياء التى يحضرها المعار و ينصب عليها الإعفاء فى حدود معينة و بين الرسوم الجمركية المقررة فإن الحكم المطعون فيه يكون قد أخطأ فى تطبيق القانون .</w:t>
      </w:r>
    </w:p>
    <w:p w:rsidR="00EC7F8B" w:rsidRPr="00EC7F8B" w:rsidRDefault="00EC7F8B" w:rsidP="00EC7F8B">
      <w:pPr>
        <w:spacing w:after="0" w:line="240" w:lineRule="auto"/>
        <w:jc w:val="lowKashida"/>
        <w:rPr>
          <w:rFonts w:ascii="Times New Roman" w:eastAsia="Times New Roman" w:hAnsi="Times New Roman" w:cs="Simplified Arabic"/>
          <w:sz w:val="28"/>
          <w:szCs w:val="28"/>
        </w:rPr>
      </w:pPr>
    </w:p>
    <w:p w:rsidR="00EC7F8B" w:rsidRPr="00EC7F8B" w:rsidRDefault="00EC7F8B" w:rsidP="00EC7F8B">
      <w:pPr>
        <w:spacing w:after="0" w:line="240" w:lineRule="auto"/>
        <w:jc w:val="center"/>
        <w:rPr>
          <w:rFonts w:ascii="Times New Roman" w:eastAsia="Times New Roman" w:hAnsi="Times New Roman" w:cs="Simplified Arabic"/>
          <w:sz w:val="24"/>
          <w:szCs w:val="24"/>
        </w:rPr>
      </w:pPr>
      <w:r w:rsidRPr="00EC7F8B">
        <w:rPr>
          <w:rFonts w:ascii="Simplified Arabic" w:eastAsia="Times New Roman" w:hAnsi="Simplified Arabic" w:cs="Simplified Arabic"/>
          <w:sz w:val="24"/>
          <w:szCs w:val="24"/>
          <w:rtl/>
        </w:rPr>
        <w:t>" سنة المكتب الفنى "  30 " رقم الصفحة -  96 -  قاعدة رقم –   -  "</w:t>
      </w:r>
    </w:p>
    <w:p w:rsidR="00EC7F8B" w:rsidRPr="00EC7F8B" w:rsidRDefault="00EC7F8B" w:rsidP="00EC7F8B">
      <w:pPr>
        <w:spacing w:after="0" w:line="240" w:lineRule="auto"/>
        <w:jc w:val="center"/>
        <w:rPr>
          <w:rFonts w:ascii="Times New Roman" w:eastAsia="Times New Roman" w:hAnsi="Times New Roman" w:cs="PT Bold Heading"/>
          <w:b/>
          <w:bCs/>
          <w:color w:val="008000"/>
          <w:sz w:val="32"/>
          <w:szCs w:val="32"/>
          <w:lang w:eastAsia="ar-SA"/>
        </w:rPr>
      </w:pPr>
    </w:p>
    <w:p w:rsidR="00EC7F8B" w:rsidRPr="00EC7F8B" w:rsidRDefault="00EC7F8B" w:rsidP="00EC7F8B">
      <w:pPr>
        <w:spacing w:after="0" w:line="240" w:lineRule="auto"/>
        <w:rPr>
          <w:rFonts w:ascii="Times New Roman" w:eastAsia="Times New Roman" w:hAnsi="Times New Roman" w:cs="Times New Roman" w:hint="cs"/>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20"/>
    <w:rsid w:val="0003272B"/>
    <w:rsid w:val="003E5EDE"/>
    <w:rsid w:val="00A87B20"/>
    <w:rsid w:val="00EC7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2020-06-03T13:17:00Z</dcterms:created>
  <dcterms:modified xsi:type="dcterms:W3CDTF">2020-06-03T13:17:00Z</dcterms:modified>
</cp:coreProperties>
</file>