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B2" w:rsidRPr="001E73B2" w:rsidRDefault="001E73B2" w:rsidP="001E73B2">
      <w:pPr>
        <w:spacing w:after="0" w:line="240" w:lineRule="auto"/>
        <w:jc w:val="center"/>
        <w:rPr>
          <w:rFonts w:ascii="Times New Roman" w:eastAsia="Times New Roman" w:hAnsi="Times New Roman" w:cs="PT Bold Heading"/>
          <w:b/>
          <w:bCs/>
          <w:color w:val="008000"/>
          <w:sz w:val="32"/>
          <w:szCs w:val="32"/>
          <w:lang w:eastAsia="ar-SA"/>
        </w:rPr>
      </w:pPr>
      <w:r w:rsidRPr="001E73B2">
        <w:rPr>
          <w:rFonts w:ascii="Times New Roman" w:eastAsia="Times New Roman" w:hAnsi="Times New Roman" w:cs="PT Bold Heading" w:hint="cs"/>
          <w:b/>
          <w:bCs/>
          <w:color w:val="008000"/>
          <w:sz w:val="32"/>
          <w:szCs w:val="32"/>
          <w:rtl/>
          <w:lang w:eastAsia="ar-SA"/>
        </w:rPr>
        <w:t>الطعن رقم 729 لسنة 40 ق ، جلسة 17 -1-1979</w:t>
      </w:r>
    </w:p>
    <w:p w:rsidR="001E73B2" w:rsidRPr="001E73B2" w:rsidRDefault="001E73B2" w:rsidP="001E73B2">
      <w:pPr>
        <w:spacing w:after="0" w:line="240" w:lineRule="auto"/>
        <w:jc w:val="center"/>
        <w:rPr>
          <w:rFonts w:ascii="Times New Roman" w:eastAsia="Times New Roman" w:hAnsi="Times New Roman" w:cs="PT Bold Heading"/>
          <w:b/>
          <w:bCs/>
          <w:color w:val="008000"/>
          <w:sz w:val="32"/>
          <w:szCs w:val="32"/>
          <w:lang w:eastAsia="ar-SA"/>
        </w:rPr>
      </w:pPr>
      <w:r w:rsidRPr="001E73B2">
        <w:rPr>
          <w:rFonts w:ascii="Times New Roman" w:eastAsia="Times New Roman" w:hAnsi="Times New Roman" w:cs="PT Bold Heading" w:hint="cs"/>
          <w:b/>
          <w:bCs/>
          <w:color w:val="008000"/>
          <w:sz w:val="32"/>
          <w:szCs w:val="32"/>
          <w:rtl/>
          <w:lang w:eastAsia="ar-SA"/>
        </w:rPr>
        <w:t>الموضوع ،  و  الموجز :</w:t>
      </w:r>
    </w:p>
    <w:p w:rsidR="001E73B2" w:rsidRPr="001E73B2" w:rsidRDefault="001E73B2" w:rsidP="001E73B2">
      <w:pPr>
        <w:spacing w:after="0" w:line="240" w:lineRule="auto"/>
        <w:jc w:val="lowKashida"/>
        <w:rPr>
          <w:rFonts w:ascii="Times New Roman" w:eastAsia="Times New Roman" w:hAnsi="Times New Roman" w:cs="Simplified Arabic"/>
          <w:b/>
          <w:bCs/>
          <w:sz w:val="32"/>
          <w:szCs w:val="32"/>
        </w:rPr>
      </w:pPr>
    </w:p>
    <w:p w:rsidR="001E73B2" w:rsidRPr="001E73B2" w:rsidRDefault="001E73B2" w:rsidP="001E73B2">
      <w:pPr>
        <w:spacing w:after="0" w:line="240" w:lineRule="auto"/>
        <w:jc w:val="lowKashida"/>
        <w:rPr>
          <w:rFonts w:ascii="Times New Roman" w:eastAsia="Times New Roman" w:hAnsi="Times New Roman" w:cs="Simplified Arabic"/>
          <w:b/>
          <w:bCs/>
          <w:sz w:val="28"/>
          <w:szCs w:val="28"/>
        </w:rPr>
      </w:pPr>
      <w:r w:rsidRPr="001E73B2">
        <w:rPr>
          <w:rFonts w:ascii="Simplified Arabic" w:eastAsia="Times New Roman" w:hAnsi="Simplified Arabic" w:cs="Simplified Arabic"/>
          <w:b/>
          <w:bCs/>
          <w:sz w:val="32"/>
          <w:szCs w:val="32"/>
          <w:rtl/>
        </w:rPr>
        <w:t xml:space="preserve">(1) </w:t>
      </w:r>
      <w:r w:rsidRPr="001E73B2">
        <w:rPr>
          <w:rFonts w:ascii="Simplified Arabic" w:eastAsia="Times New Roman" w:hAnsi="Simplified Arabic" w:cs="Simplified Arabic"/>
          <w:b/>
          <w:bCs/>
          <w:sz w:val="28"/>
          <w:szCs w:val="24"/>
          <w:rtl/>
        </w:rPr>
        <w:t xml:space="preserve">   </w:t>
      </w:r>
      <w:r w:rsidRPr="001E73B2">
        <w:rPr>
          <w:rFonts w:ascii="Simplified Arabic" w:eastAsia="Times New Roman" w:hAnsi="Simplified Arabic" w:cs="Simplified Arabic"/>
          <w:b/>
          <w:bCs/>
          <w:sz w:val="28"/>
          <w:szCs w:val="28"/>
          <w:rtl/>
        </w:rPr>
        <w:t>تعويض</w:t>
      </w:r>
    </w:p>
    <w:p w:rsidR="001E73B2" w:rsidRPr="001E73B2" w:rsidRDefault="001E73B2" w:rsidP="001E73B2">
      <w:pPr>
        <w:spacing w:after="0" w:line="240" w:lineRule="auto"/>
        <w:jc w:val="lowKashida"/>
        <w:rPr>
          <w:rFonts w:ascii="Times New Roman" w:eastAsia="Times New Roman" w:hAnsi="Times New Roman" w:cs="Simplified Arabic"/>
          <w:sz w:val="28"/>
          <w:szCs w:val="28"/>
        </w:rPr>
      </w:pPr>
      <w:r w:rsidRPr="001E73B2">
        <w:rPr>
          <w:rFonts w:ascii="Times New Roman" w:eastAsia="Times New Roman" w:hAnsi="Times New Roman" w:cs="Simplified Arabic"/>
          <w:sz w:val="28"/>
          <w:szCs w:val="28"/>
        </w:rPr>
        <w:t>-</w:t>
      </w:r>
      <w:r w:rsidRPr="001E73B2">
        <w:rPr>
          <w:rFonts w:ascii="Simplified Arabic" w:eastAsia="Times New Roman" w:hAnsi="Simplified Arabic" w:cs="Simplified Arabic"/>
          <w:sz w:val="28"/>
          <w:szCs w:val="28"/>
          <w:rtl/>
        </w:rPr>
        <w:t xml:space="preserve"> الحكم نهائيا بإدانة التابع في جريمتي القتل خطأ والتسبب في حصول حادث القطار وجوب تقيد المحكمة المدنية بحجيته في إثبات الخطأ عند الفصل في دعوي التعويض عن اتلاف السيارة التي اصطدم بها القطار قضاؤها أن خطأ قائد السيارة استغرق خطأ </w:t>
      </w:r>
      <w:proofErr w:type="gramStart"/>
      <w:r w:rsidRPr="001E73B2">
        <w:rPr>
          <w:rFonts w:ascii="Simplified Arabic" w:eastAsia="Times New Roman" w:hAnsi="Simplified Arabic" w:cs="Simplified Arabic"/>
          <w:sz w:val="28"/>
          <w:szCs w:val="28"/>
          <w:rtl/>
        </w:rPr>
        <w:t>التابع .</w:t>
      </w:r>
      <w:proofErr w:type="gramEnd"/>
      <w:r w:rsidRPr="001E73B2">
        <w:rPr>
          <w:rFonts w:ascii="Simplified Arabic" w:eastAsia="Times New Roman" w:hAnsi="Simplified Arabic" w:cs="Simplified Arabic"/>
          <w:sz w:val="28"/>
          <w:szCs w:val="28"/>
          <w:rtl/>
        </w:rPr>
        <w:t xml:space="preserve"> خطأ .</w:t>
      </w:r>
    </w:p>
    <w:p w:rsidR="001E73B2" w:rsidRPr="001E73B2" w:rsidRDefault="001E73B2" w:rsidP="001E73B2">
      <w:pPr>
        <w:spacing w:after="0" w:line="240" w:lineRule="auto"/>
        <w:jc w:val="lowKashida"/>
        <w:rPr>
          <w:rFonts w:ascii="Simplified Arabic" w:eastAsia="Times New Roman" w:hAnsi="Simplified Arabic" w:cs="Simplified Arabic"/>
          <w:b/>
          <w:bCs/>
          <w:sz w:val="28"/>
          <w:szCs w:val="24"/>
        </w:rPr>
      </w:pPr>
    </w:p>
    <w:p w:rsidR="001E73B2" w:rsidRPr="001E73B2" w:rsidRDefault="001E73B2" w:rsidP="001E73B2">
      <w:pPr>
        <w:spacing w:after="0" w:line="240" w:lineRule="auto"/>
        <w:jc w:val="lowKashida"/>
        <w:rPr>
          <w:rFonts w:ascii="Times New Roman" w:eastAsia="Times New Roman" w:hAnsi="Times New Roman" w:cs="Simplified Arabic"/>
          <w:b/>
          <w:bCs/>
          <w:sz w:val="28"/>
          <w:szCs w:val="24"/>
          <w:rtl/>
        </w:rPr>
      </w:pPr>
    </w:p>
    <w:p w:rsidR="001E73B2" w:rsidRPr="001E73B2" w:rsidRDefault="001E73B2" w:rsidP="001E73B2">
      <w:pPr>
        <w:spacing w:after="0" w:line="240" w:lineRule="auto"/>
        <w:jc w:val="lowKashida"/>
        <w:rPr>
          <w:rFonts w:ascii="Simplified Arabic" w:eastAsia="Times New Roman" w:hAnsi="Simplified Arabic" w:cs="Simplified Arabic"/>
          <w:b/>
          <w:bCs/>
          <w:sz w:val="28"/>
          <w:szCs w:val="24"/>
        </w:rPr>
      </w:pPr>
    </w:p>
    <w:p w:rsidR="001E73B2" w:rsidRPr="001E73B2" w:rsidRDefault="001E73B2" w:rsidP="001E73B2">
      <w:pPr>
        <w:spacing w:after="0" w:line="240" w:lineRule="auto"/>
        <w:jc w:val="center"/>
        <w:rPr>
          <w:rFonts w:ascii="Times New Roman" w:eastAsia="Times New Roman" w:hAnsi="Times New Roman" w:cs="PT Bold Heading"/>
          <w:b/>
          <w:bCs/>
          <w:color w:val="008000"/>
          <w:sz w:val="32"/>
          <w:szCs w:val="32"/>
          <w:rtl/>
          <w:lang w:eastAsia="ar-SA"/>
        </w:rPr>
      </w:pPr>
      <w:r w:rsidRPr="001E73B2">
        <w:rPr>
          <w:rFonts w:ascii="Times New Roman" w:eastAsia="Times New Roman" w:hAnsi="Times New Roman" w:cs="PT Bold Heading" w:hint="cs"/>
          <w:b/>
          <w:bCs/>
          <w:color w:val="008000"/>
          <w:sz w:val="32"/>
          <w:szCs w:val="32"/>
          <w:rtl/>
          <w:lang w:eastAsia="ar-SA"/>
        </w:rPr>
        <w:t>القاعدة</w:t>
      </w:r>
    </w:p>
    <w:p w:rsidR="001E73B2" w:rsidRPr="001E73B2" w:rsidRDefault="001E73B2" w:rsidP="001E73B2">
      <w:pPr>
        <w:spacing w:after="0" w:line="240" w:lineRule="auto"/>
        <w:jc w:val="lowKashida"/>
        <w:rPr>
          <w:rFonts w:ascii="Simplified Arabic" w:eastAsia="Times New Roman" w:hAnsi="Simplified Arabic" w:cs="Simplified Arabic"/>
          <w:sz w:val="28"/>
          <w:szCs w:val="28"/>
        </w:rPr>
      </w:pPr>
      <w:r w:rsidRPr="001E73B2">
        <w:rPr>
          <w:rFonts w:ascii="Simplified Arabic" w:eastAsia="Times New Roman" w:hAnsi="Simplified Arabic" w:cs="Simplified Arabic"/>
          <w:sz w:val="28"/>
          <w:szCs w:val="28"/>
          <w:rtl/>
        </w:rPr>
        <w:t>1- الحكم الصادر فى المواد الجنائية تكون له حجية فى الدعوى المدنية أمام المحكمة المدنية كلما كان قد فصل فصلاً لازماً فى وقوع الفعل المكون للأساس المشترك من الدعويين الجنائية و المدنية . و فى الوصف القانونى لهذا الفعل و نسبته إلى فاعله فإذا فصلت المحكمة الجنائية فى هذه الأمور فإنه يمتنع على المحاكم المدنية أن تعيد بحثها و يتعين عليها أن تلتزمها فى بحث الحقوق المدنية المتصلة بها لكى لا يكون حكمها مخالفاً للحكم الجنائى السابق له . و إذ كان الثابت من الحكم الصادر فى الدعوى الجنائية أنها رفعت على حارس المزلقان بتهمتى القتل الخطأ و التسبب فى حصول حادث للقطار فقضت المحكمة بإدانته و قد صار الحكم إنتهائياً بتأييده و لما كان الفعل غير المشروع الذى رفعت الدعوى الجنائية على أساسه هو بذاته الذى نشأ عنه إتلاف السيارة -ـ و الذى يستند إليه الطاعن فى دعواه المدنية الراهنة -- فإن الحكم الجنائى المذكور إذ قضى بإدانة حارس المزلقان لثبوت الخطأ فى جانبه يكون قد فصل فصلاً لازماً فى وقوع الفعل المكون للأساس المشترك بين الدعويين الجنائية و المدنية و فى الوصف القانونى لهذا الفعل و نسبته إلى فاعله ، فيحوز فى شأن هذه المسألة المشتركة حجية الشىء المحكوم فيه أمام المحكمة المدنية و تتقيد به هذه المحكمة و يمتنع عليها أن تخالفه أو تعيد بحثه ، و إذا لم يعتد الحكم المطعون فيه بحجية الحكم الجنائى فى هذا الخصوص فقضى على خلافه برفض دعوى الطاعن بمقوله : " أن خطأ قائد السيارة يستغرق خطأ حارس المزلقان "  فإنه يكون قد خالف القانون و أخطأ فى تطبيقه .</w:t>
      </w:r>
    </w:p>
    <w:p w:rsidR="001E73B2" w:rsidRPr="001E73B2" w:rsidRDefault="001E73B2" w:rsidP="001E73B2">
      <w:pPr>
        <w:spacing w:after="0" w:line="240" w:lineRule="auto"/>
        <w:jc w:val="lowKashida"/>
        <w:rPr>
          <w:rFonts w:ascii="Times New Roman" w:eastAsia="Times New Roman" w:hAnsi="Times New Roman" w:cs="Simplified Arabic"/>
          <w:sz w:val="28"/>
          <w:szCs w:val="28"/>
          <w:rtl/>
        </w:rPr>
      </w:pPr>
      <w:r w:rsidRPr="001E73B2">
        <w:rPr>
          <w:rFonts w:ascii="Simplified Arabic" w:eastAsia="Times New Roman" w:hAnsi="Simplified Arabic" w:cs="Simplified Arabic"/>
          <w:sz w:val="28"/>
          <w:szCs w:val="28"/>
          <w:rtl/>
        </w:rPr>
        <w:t xml:space="preserve"> </w:t>
      </w:r>
    </w:p>
    <w:p w:rsidR="001E73B2" w:rsidRPr="001E73B2" w:rsidRDefault="001E73B2" w:rsidP="001E73B2">
      <w:pPr>
        <w:spacing w:after="0" w:line="240" w:lineRule="auto"/>
        <w:jc w:val="center"/>
        <w:rPr>
          <w:rFonts w:ascii="Times New Roman" w:eastAsia="Times New Roman" w:hAnsi="Times New Roman" w:cs="Simplified Arabic"/>
          <w:sz w:val="24"/>
          <w:szCs w:val="24"/>
        </w:rPr>
      </w:pPr>
      <w:r w:rsidRPr="001E73B2">
        <w:rPr>
          <w:rFonts w:ascii="Simplified Arabic" w:eastAsia="Times New Roman" w:hAnsi="Simplified Arabic" w:cs="Simplified Arabic"/>
          <w:sz w:val="24"/>
          <w:szCs w:val="24"/>
          <w:rtl/>
        </w:rPr>
        <w:t>" سنة المكتب الفنى "  30 " رقم الصفحة -233  -  قاعدة رقم –   -  "</w:t>
      </w:r>
    </w:p>
    <w:p w:rsidR="001E73B2" w:rsidRPr="001E73B2" w:rsidRDefault="001E73B2" w:rsidP="001E73B2">
      <w:pPr>
        <w:spacing w:after="0" w:line="240" w:lineRule="auto"/>
        <w:jc w:val="center"/>
        <w:rPr>
          <w:rFonts w:ascii="Times New Roman" w:eastAsia="Times New Roman" w:hAnsi="Times New Roman" w:cs="PT Bold Heading"/>
          <w:b/>
          <w:bCs/>
          <w:color w:val="008000"/>
          <w:sz w:val="32"/>
          <w:szCs w:val="32"/>
          <w:lang w:eastAsia="ar-SA"/>
        </w:rPr>
      </w:pPr>
    </w:p>
    <w:p w:rsidR="001E73B2" w:rsidRPr="001E73B2" w:rsidRDefault="001E73B2" w:rsidP="001E73B2">
      <w:pPr>
        <w:spacing w:after="0" w:line="240" w:lineRule="auto"/>
        <w:rPr>
          <w:rFonts w:ascii="Times New Roman" w:eastAsia="Times New Roman" w:hAnsi="Times New Roman" w:cs="Times New Roman" w:hint="cs"/>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59"/>
    <w:rsid w:val="0003272B"/>
    <w:rsid w:val="001E73B2"/>
    <w:rsid w:val="003E5EDE"/>
    <w:rsid w:val="00933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2020-06-03T13:17:00Z</dcterms:created>
  <dcterms:modified xsi:type="dcterms:W3CDTF">2020-06-03T13:17:00Z</dcterms:modified>
</cp:coreProperties>
</file>