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EE" w:rsidRPr="007114EE" w:rsidRDefault="007114EE" w:rsidP="007114EE">
      <w:pPr>
        <w:spacing w:after="0" w:line="240" w:lineRule="auto"/>
        <w:jc w:val="center"/>
        <w:rPr>
          <w:rFonts w:ascii="Times New Roman" w:eastAsia="Times New Roman" w:hAnsi="Times New Roman" w:cs="PT Bold Heading"/>
          <w:b/>
          <w:bCs/>
          <w:color w:val="008000"/>
          <w:sz w:val="32"/>
          <w:szCs w:val="32"/>
          <w:lang w:eastAsia="ar-SA"/>
        </w:rPr>
      </w:pPr>
      <w:r w:rsidRPr="007114EE">
        <w:rPr>
          <w:rFonts w:ascii="Times New Roman" w:eastAsia="Times New Roman" w:hAnsi="Times New Roman" w:cs="PT Bold Heading" w:hint="cs"/>
          <w:b/>
          <w:bCs/>
          <w:color w:val="008000"/>
          <w:sz w:val="32"/>
          <w:szCs w:val="32"/>
          <w:rtl/>
          <w:lang w:eastAsia="ar-SA"/>
        </w:rPr>
        <w:t xml:space="preserve">الطعن رقم 733 لسنة 44 ق </w:t>
      </w:r>
      <w:r w:rsidRPr="007114EE">
        <w:rPr>
          <w:rFonts w:ascii="Times New Roman" w:eastAsia="Times New Roman" w:hAnsi="Times New Roman" w:cs="Times New Roman" w:hint="cs"/>
          <w:b/>
          <w:bCs/>
          <w:color w:val="008000"/>
          <w:sz w:val="32"/>
          <w:szCs w:val="32"/>
          <w:rtl/>
          <w:lang w:eastAsia="ar-SA"/>
        </w:rPr>
        <w:t>-</w:t>
      </w:r>
      <w:r w:rsidRPr="007114EE">
        <w:rPr>
          <w:rFonts w:ascii="Times New Roman" w:eastAsia="Times New Roman" w:hAnsi="Times New Roman" w:cs="PT Bold Heading" w:hint="cs"/>
          <w:b/>
          <w:bCs/>
          <w:color w:val="008000"/>
          <w:sz w:val="32"/>
          <w:szCs w:val="32"/>
          <w:rtl/>
          <w:lang w:eastAsia="ar-SA"/>
        </w:rPr>
        <w:t xml:space="preserve"> جلسة 21-2-1979</w:t>
      </w:r>
    </w:p>
    <w:p w:rsidR="007114EE" w:rsidRPr="007114EE" w:rsidRDefault="007114EE" w:rsidP="007114EE">
      <w:pPr>
        <w:spacing w:after="0" w:line="240" w:lineRule="auto"/>
        <w:jc w:val="center"/>
        <w:rPr>
          <w:rFonts w:ascii="Times New Roman" w:eastAsia="Times New Roman" w:hAnsi="Times New Roman" w:cs="PT Bold Heading"/>
          <w:b/>
          <w:bCs/>
          <w:color w:val="008000"/>
          <w:sz w:val="32"/>
          <w:szCs w:val="32"/>
          <w:lang w:eastAsia="ar-SA"/>
        </w:rPr>
      </w:pPr>
      <w:r w:rsidRPr="007114EE">
        <w:rPr>
          <w:rFonts w:ascii="Times New Roman" w:eastAsia="Times New Roman" w:hAnsi="Times New Roman" w:cs="PT Bold Heading" w:hint="cs"/>
          <w:b/>
          <w:bCs/>
          <w:color w:val="008000"/>
          <w:sz w:val="32"/>
          <w:szCs w:val="32"/>
          <w:rtl/>
          <w:lang w:eastAsia="ar-SA"/>
        </w:rPr>
        <w:t>الموضوع ،  و  الموجز :</w:t>
      </w:r>
    </w:p>
    <w:p w:rsidR="007114EE" w:rsidRPr="007114EE" w:rsidRDefault="007114EE" w:rsidP="007114EE">
      <w:pPr>
        <w:spacing w:after="0" w:line="240" w:lineRule="auto"/>
        <w:jc w:val="lowKashida"/>
        <w:rPr>
          <w:rFonts w:ascii="Times New Roman" w:eastAsia="Times New Roman" w:hAnsi="Times New Roman" w:cs="Simplified Arabic"/>
          <w:b/>
          <w:bCs/>
          <w:sz w:val="32"/>
          <w:szCs w:val="32"/>
        </w:rPr>
      </w:pPr>
    </w:p>
    <w:p w:rsidR="007114EE" w:rsidRPr="007114EE" w:rsidRDefault="007114EE" w:rsidP="007114EE">
      <w:pPr>
        <w:spacing w:after="0" w:line="240" w:lineRule="auto"/>
        <w:jc w:val="lowKashida"/>
        <w:rPr>
          <w:rFonts w:ascii="Times New Roman" w:eastAsia="Times New Roman" w:hAnsi="Times New Roman" w:cs="Simplified Arabic"/>
          <w:b/>
          <w:bCs/>
          <w:sz w:val="28"/>
          <w:szCs w:val="28"/>
        </w:rPr>
      </w:pPr>
      <w:r w:rsidRPr="007114EE">
        <w:rPr>
          <w:rFonts w:ascii="Simplified Arabic" w:eastAsia="Times New Roman" w:hAnsi="Simplified Arabic" w:cs="Simplified Arabic"/>
          <w:b/>
          <w:bCs/>
          <w:sz w:val="32"/>
          <w:szCs w:val="32"/>
          <w:rtl/>
        </w:rPr>
        <w:t xml:space="preserve">(1) </w:t>
      </w:r>
      <w:r w:rsidRPr="007114EE">
        <w:rPr>
          <w:rFonts w:ascii="Simplified Arabic" w:eastAsia="Times New Roman" w:hAnsi="Simplified Arabic" w:cs="Simplified Arabic"/>
          <w:b/>
          <w:bCs/>
          <w:sz w:val="28"/>
          <w:szCs w:val="24"/>
          <w:rtl/>
        </w:rPr>
        <w:t xml:space="preserve">   </w:t>
      </w:r>
      <w:r w:rsidRPr="007114EE">
        <w:rPr>
          <w:rFonts w:ascii="Simplified Arabic" w:eastAsia="Times New Roman" w:hAnsi="Simplified Arabic" w:cs="Simplified Arabic"/>
          <w:b/>
          <w:bCs/>
          <w:sz w:val="28"/>
          <w:szCs w:val="28"/>
          <w:rtl/>
        </w:rPr>
        <w:t xml:space="preserve"> تأميم </w:t>
      </w:r>
    </w:p>
    <w:p w:rsidR="007114EE" w:rsidRPr="007114EE" w:rsidRDefault="007114EE" w:rsidP="007114EE">
      <w:pPr>
        <w:spacing w:after="0" w:line="240" w:lineRule="auto"/>
        <w:jc w:val="lowKashida"/>
        <w:rPr>
          <w:rFonts w:ascii="Times New Roman" w:eastAsia="Times New Roman" w:hAnsi="Times New Roman" w:cs="Simplified Arabic"/>
          <w:sz w:val="28"/>
          <w:szCs w:val="28"/>
        </w:rPr>
      </w:pPr>
      <w:r w:rsidRPr="007114EE">
        <w:rPr>
          <w:rFonts w:ascii="Times New Roman" w:eastAsia="Times New Roman" w:hAnsi="Times New Roman" w:cs="Simplified Arabic"/>
          <w:sz w:val="28"/>
          <w:szCs w:val="28"/>
        </w:rPr>
        <w:t>-</w:t>
      </w:r>
      <w:r w:rsidRPr="007114EE">
        <w:rPr>
          <w:rFonts w:ascii="Simplified Arabic" w:eastAsia="Times New Roman" w:hAnsi="Simplified Arabic" w:cs="Simplified Arabic"/>
          <w:sz w:val="28"/>
          <w:szCs w:val="28"/>
          <w:rtl/>
        </w:rPr>
        <w:t xml:space="preserve"> إقامة كل من الخصمين دعوى قبل الآخر للمطالبة بحقوقه الناشئة عن سبب واحد قبل أيلولة أموال أحدهما إلى الدولة بالقانون 150 لسنة 1964 مباشرة مدير إدارة الأموال دعوى الأخير ومنازعته للخصم الآخر فى دعواه قبله هو بمثابة رفض لدين الأخير عدم وجوب عرضه على المدير قبل الالتجاء للقضاء .</w:t>
      </w:r>
    </w:p>
    <w:p w:rsidR="007114EE" w:rsidRPr="007114EE" w:rsidRDefault="007114EE" w:rsidP="007114EE">
      <w:pPr>
        <w:spacing w:after="0" w:line="240" w:lineRule="auto"/>
        <w:jc w:val="lowKashida"/>
        <w:rPr>
          <w:rFonts w:ascii="Simplified Arabic" w:eastAsia="Times New Roman" w:hAnsi="Simplified Arabic" w:cs="Simplified Arabic"/>
          <w:b/>
          <w:bCs/>
          <w:sz w:val="28"/>
          <w:szCs w:val="24"/>
        </w:rPr>
      </w:pPr>
    </w:p>
    <w:p w:rsidR="007114EE" w:rsidRPr="007114EE" w:rsidRDefault="007114EE" w:rsidP="007114EE">
      <w:pPr>
        <w:spacing w:after="0" w:line="240" w:lineRule="auto"/>
        <w:jc w:val="lowKashida"/>
        <w:rPr>
          <w:rFonts w:ascii="Times New Roman" w:eastAsia="Times New Roman" w:hAnsi="Times New Roman" w:cs="Simplified Arabic"/>
          <w:b/>
          <w:bCs/>
          <w:sz w:val="28"/>
          <w:szCs w:val="24"/>
          <w:rtl/>
        </w:rPr>
      </w:pPr>
    </w:p>
    <w:p w:rsidR="007114EE" w:rsidRPr="007114EE" w:rsidRDefault="007114EE" w:rsidP="007114EE">
      <w:pPr>
        <w:spacing w:after="0" w:line="240" w:lineRule="auto"/>
        <w:jc w:val="center"/>
        <w:rPr>
          <w:rFonts w:ascii="Times New Roman" w:eastAsia="Times New Roman" w:hAnsi="Times New Roman" w:cs="PT Bold Heading"/>
          <w:b/>
          <w:bCs/>
          <w:color w:val="008000"/>
          <w:sz w:val="32"/>
          <w:szCs w:val="32"/>
          <w:lang w:eastAsia="ar-SA"/>
        </w:rPr>
      </w:pPr>
      <w:r w:rsidRPr="007114EE">
        <w:rPr>
          <w:rFonts w:ascii="Times New Roman" w:eastAsia="Times New Roman" w:hAnsi="Times New Roman" w:cs="PT Bold Heading" w:hint="cs"/>
          <w:b/>
          <w:bCs/>
          <w:color w:val="008000"/>
          <w:sz w:val="32"/>
          <w:szCs w:val="32"/>
          <w:rtl/>
          <w:lang w:eastAsia="ar-SA"/>
        </w:rPr>
        <w:t>القاعدة</w:t>
      </w:r>
    </w:p>
    <w:p w:rsidR="007114EE" w:rsidRPr="007114EE" w:rsidRDefault="007114EE" w:rsidP="007114EE">
      <w:pPr>
        <w:spacing w:after="0" w:line="240" w:lineRule="auto"/>
        <w:jc w:val="lowKashida"/>
        <w:rPr>
          <w:rFonts w:ascii="Times New Roman" w:eastAsia="Times New Roman" w:hAnsi="Times New Roman" w:cs="Simplified Arabic" w:hint="cs"/>
          <w:sz w:val="28"/>
          <w:szCs w:val="28"/>
          <w:rtl/>
        </w:rPr>
      </w:pPr>
      <w:r w:rsidRPr="007114EE">
        <w:rPr>
          <w:rFonts w:ascii="Simplified Arabic" w:eastAsia="Times New Roman" w:hAnsi="Simplified Arabic" w:cs="Simplified Arabic"/>
          <w:sz w:val="28"/>
          <w:szCs w:val="28"/>
          <w:rtl/>
        </w:rPr>
        <w:t>1- إذ كان الثابت أن الدعويين ............ و .......... وجهان متقابلان لنزاع واحد ثار بين طرفيهما حول حاصل تصفية حساب توريد المطعون ضده الأقطان للشركه ، فبينما تقوم الدعوى الأولى على إدعاء الشركة باستحقاقها لقيمه قسطين فى ذمة المطعون ضده أشار إليهما حكم المحكمين فإن هذا الأخير قد أقام دعواه دفعاً لدعوى الشركه بأنه هو الذى يداينها ، بمعنى أن موقف كل من الطرفين فى دعواه يقوم على إنكار دين الآخر ، و إذا كان ذلك و كانت الدعويان قد رفعتا قبل فرض الحراسة على ............. و إذا فرضت و آلت أمواله إلى الدولة باشر الطاعن بصفته الدعوى .......... مصمماً على الطلبات فيها ، فإنه يكون بذلك قد أفصح عن رفضه لدينه موضوع المطالبة فى الدعوى المرفوعة منه رفضاً يغنى عن إلتجائه للمدير العام بطلب دينه ، و تستقيم به الدعوى أمام المحكمة ، إذ يتحقق بهذا الرفض ما تغياه الشارع فى القرار الجمهورى 1876 سنة 1964 من وجوب عرض الدين على المدير العام ليقول كلمته فيه .</w:t>
      </w:r>
    </w:p>
    <w:p w:rsidR="007114EE" w:rsidRPr="007114EE" w:rsidRDefault="007114EE" w:rsidP="007114EE">
      <w:pPr>
        <w:spacing w:after="0" w:line="240" w:lineRule="auto"/>
        <w:jc w:val="lowKashida"/>
        <w:rPr>
          <w:rFonts w:ascii="Times New Roman" w:eastAsia="Times New Roman" w:hAnsi="Times New Roman" w:cs="Simplified Arabic"/>
          <w:sz w:val="28"/>
          <w:szCs w:val="28"/>
        </w:rPr>
      </w:pPr>
    </w:p>
    <w:p w:rsidR="007114EE" w:rsidRPr="007114EE" w:rsidRDefault="007114EE" w:rsidP="007114EE">
      <w:pPr>
        <w:spacing w:after="0" w:line="240" w:lineRule="auto"/>
        <w:jc w:val="center"/>
        <w:rPr>
          <w:rFonts w:ascii="Times New Roman" w:eastAsia="Times New Roman" w:hAnsi="Times New Roman" w:cs="Simplified Arabic"/>
          <w:sz w:val="24"/>
          <w:szCs w:val="24"/>
        </w:rPr>
      </w:pPr>
      <w:r w:rsidRPr="007114EE">
        <w:rPr>
          <w:rFonts w:ascii="Simplified Arabic" w:eastAsia="Times New Roman" w:hAnsi="Simplified Arabic" w:cs="Simplified Arabic"/>
          <w:sz w:val="24"/>
          <w:szCs w:val="24"/>
          <w:rtl/>
        </w:rPr>
        <w:t>" سنة المكتب الفنى "  30 " رقم الصفحة -573   -  قاعدة رقم –   -  "</w:t>
      </w:r>
    </w:p>
    <w:p w:rsidR="007114EE" w:rsidRPr="007114EE" w:rsidRDefault="007114EE" w:rsidP="007114EE">
      <w:pPr>
        <w:spacing w:after="0" w:line="240" w:lineRule="auto"/>
        <w:jc w:val="lowKashida"/>
        <w:rPr>
          <w:rFonts w:ascii="Simplified Arabic" w:eastAsia="Times New Roman" w:hAnsi="Simplified Arabic" w:cs="Simplified Arabic"/>
          <w:sz w:val="28"/>
          <w:szCs w:val="28"/>
        </w:rPr>
      </w:pPr>
    </w:p>
    <w:p w:rsidR="007114EE" w:rsidRPr="007114EE" w:rsidRDefault="007114EE" w:rsidP="007114EE">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F5"/>
    <w:rsid w:val="0003272B"/>
    <w:rsid w:val="003E5EDE"/>
    <w:rsid w:val="007114EE"/>
    <w:rsid w:val="00E2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2020-06-03T13:38:00Z</dcterms:created>
  <dcterms:modified xsi:type="dcterms:W3CDTF">2020-06-03T13:38:00Z</dcterms:modified>
</cp:coreProperties>
</file>