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64DE" w:rsidRPr="00E264DE" w:rsidRDefault="00E264DE" w:rsidP="00E264DE">
      <w:pPr>
        <w:spacing w:after="0" w:line="240" w:lineRule="auto"/>
        <w:jc w:val="center"/>
        <w:rPr>
          <w:rFonts w:ascii="Times New Roman" w:eastAsia="Times New Roman" w:hAnsi="Times New Roman" w:cs="PT Bold Heading"/>
          <w:b/>
          <w:bCs/>
          <w:color w:val="008000"/>
          <w:sz w:val="32"/>
          <w:szCs w:val="32"/>
          <w:lang w:eastAsia="ar-SA"/>
        </w:rPr>
      </w:pPr>
      <w:r w:rsidRPr="00E264DE">
        <w:rPr>
          <w:rFonts w:ascii="Times New Roman" w:eastAsia="Times New Roman" w:hAnsi="Times New Roman" w:cs="PT Bold Heading" w:hint="cs"/>
          <w:b/>
          <w:bCs/>
          <w:color w:val="008000"/>
          <w:sz w:val="32"/>
          <w:szCs w:val="32"/>
          <w:rtl/>
          <w:lang w:eastAsia="ar-SA"/>
        </w:rPr>
        <w:t xml:space="preserve">الطعن رقم 762 لسنة 45 ق </w:t>
      </w:r>
      <w:r w:rsidRPr="00E264DE">
        <w:rPr>
          <w:rFonts w:ascii="Times New Roman" w:eastAsia="Times New Roman" w:hAnsi="Times New Roman" w:cs="Times New Roman" w:hint="cs"/>
          <w:b/>
          <w:bCs/>
          <w:color w:val="008000"/>
          <w:sz w:val="32"/>
          <w:szCs w:val="32"/>
          <w:rtl/>
          <w:lang w:eastAsia="ar-SA"/>
        </w:rPr>
        <w:t>-</w:t>
      </w:r>
      <w:r w:rsidRPr="00E264DE">
        <w:rPr>
          <w:rFonts w:ascii="Times New Roman" w:eastAsia="Times New Roman" w:hAnsi="Times New Roman" w:cs="PT Bold Heading" w:hint="cs"/>
          <w:b/>
          <w:bCs/>
          <w:color w:val="008000"/>
          <w:sz w:val="32"/>
          <w:szCs w:val="32"/>
          <w:rtl/>
          <w:lang w:eastAsia="ar-SA"/>
        </w:rPr>
        <w:t xml:space="preserve"> جلسة 7-4-1979</w:t>
      </w:r>
    </w:p>
    <w:p w:rsidR="00E264DE" w:rsidRPr="00E264DE" w:rsidRDefault="00E264DE" w:rsidP="00E264DE">
      <w:pPr>
        <w:spacing w:after="0" w:line="240" w:lineRule="auto"/>
        <w:jc w:val="center"/>
        <w:rPr>
          <w:rFonts w:ascii="Times New Roman" w:eastAsia="Times New Roman" w:hAnsi="Times New Roman" w:cs="PT Bold Heading"/>
          <w:b/>
          <w:bCs/>
          <w:color w:val="008000"/>
          <w:sz w:val="32"/>
          <w:szCs w:val="32"/>
          <w:lang w:eastAsia="ar-SA"/>
        </w:rPr>
      </w:pPr>
      <w:r w:rsidRPr="00E264DE">
        <w:rPr>
          <w:rFonts w:ascii="Times New Roman" w:eastAsia="Times New Roman" w:hAnsi="Times New Roman" w:cs="PT Bold Heading" w:hint="cs"/>
          <w:b/>
          <w:bCs/>
          <w:color w:val="008000"/>
          <w:sz w:val="32"/>
          <w:szCs w:val="32"/>
          <w:rtl/>
          <w:lang w:eastAsia="ar-SA"/>
        </w:rPr>
        <w:t>الموضوع ،  و  الموجز :</w:t>
      </w:r>
    </w:p>
    <w:p w:rsidR="00E264DE" w:rsidRPr="00E264DE" w:rsidRDefault="00E264DE" w:rsidP="00E264DE">
      <w:pPr>
        <w:spacing w:after="0" w:line="240" w:lineRule="auto"/>
        <w:jc w:val="lowKashida"/>
        <w:rPr>
          <w:rFonts w:ascii="Times New Roman" w:eastAsia="Times New Roman" w:hAnsi="Times New Roman" w:cs="Simplified Arabic"/>
          <w:b/>
          <w:bCs/>
          <w:sz w:val="32"/>
          <w:szCs w:val="32"/>
        </w:rPr>
      </w:pPr>
    </w:p>
    <w:p w:rsidR="00E264DE" w:rsidRPr="00E264DE" w:rsidRDefault="00E264DE" w:rsidP="00E264DE">
      <w:pPr>
        <w:spacing w:after="0" w:line="240" w:lineRule="auto"/>
        <w:jc w:val="lowKashida"/>
        <w:rPr>
          <w:rFonts w:ascii="Times New Roman" w:eastAsia="Times New Roman" w:hAnsi="Times New Roman" w:cs="Simplified Arabic"/>
          <w:b/>
          <w:bCs/>
          <w:sz w:val="28"/>
          <w:szCs w:val="28"/>
        </w:rPr>
      </w:pPr>
      <w:r w:rsidRPr="00E264DE">
        <w:rPr>
          <w:rFonts w:ascii="Simplified Arabic" w:eastAsia="Times New Roman" w:hAnsi="Simplified Arabic" w:cs="Simplified Arabic"/>
          <w:b/>
          <w:bCs/>
          <w:sz w:val="32"/>
          <w:szCs w:val="32"/>
          <w:rtl/>
        </w:rPr>
        <w:t xml:space="preserve">(1) </w:t>
      </w:r>
      <w:r w:rsidRPr="00E264DE">
        <w:rPr>
          <w:rFonts w:ascii="Simplified Arabic" w:eastAsia="Times New Roman" w:hAnsi="Simplified Arabic" w:cs="Simplified Arabic"/>
          <w:b/>
          <w:bCs/>
          <w:sz w:val="28"/>
          <w:szCs w:val="24"/>
          <w:rtl/>
        </w:rPr>
        <w:t xml:space="preserve">   </w:t>
      </w:r>
      <w:r w:rsidRPr="00E264DE">
        <w:rPr>
          <w:rFonts w:ascii="Simplified Arabic" w:eastAsia="Times New Roman" w:hAnsi="Simplified Arabic" w:cs="Simplified Arabic"/>
          <w:b/>
          <w:bCs/>
          <w:sz w:val="28"/>
          <w:szCs w:val="28"/>
          <w:rtl/>
        </w:rPr>
        <w:t>محكمة الموضوع</w:t>
      </w:r>
    </w:p>
    <w:p w:rsidR="00E264DE" w:rsidRPr="00E264DE" w:rsidRDefault="00E264DE" w:rsidP="00E264DE">
      <w:pPr>
        <w:spacing w:after="0" w:line="240" w:lineRule="auto"/>
        <w:jc w:val="lowKashida"/>
        <w:rPr>
          <w:rFonts w:ascii="Times New Roman" w:eastAsia="Times New Roman" w:hAnsi="Times New Roman" w:cs="Simplified Arabic"/>
          <w:sz w:val="28"/>
          <w:szCs w:val="28"/>
        </w:rPr>
      </w:pPr>
      <w:r w:rsidRPr="00E264DE">
        <w:rPr>
          <w:rFonts w:ascii="Times New Roman" w:eastAsia="Times New Roman" w:hAnsi="Times New Roman" w:cs="Simplified Arabic"/>
          <w:sz w:val="28"/>
          <w:szCs w:val="28"/>
        </w:rPr>
        <w:t>-</w:t>
      </w:r>
      <w:r w:rsidRPr="00E264DE">
        <w:rPr>
          <w:rFonts w:ascii="Simplified Arabic" w:eastAsia="Times New Roman" w:hAnsi="Simplified Arabic" w:cs="Simplified Arabic"/>
          <w:sz w:val="28"/>
          <w:szCs w:val="28"/>
          <w:rtl/>
        </w:rPr>
        <w:t xml:space="preserve"> تقويم ميزة التصريح بالتأجير من الباطن بواقع 70 % استنادا إلى </w:t>
      </w:r>
      <w:proofErr w:type="gramStart"/>
      <w:r w:rsidRPr="00E264DE">
        <w:rPr>
          <w:rFonts w:ascii="Simplified Arabic" w:eastAsia="Times New Roman" w:hAnsi="Simplified Arabic" w:cs="Simplified Arabic"/>
          <w:sz w:val="28"/>
          <w:szCs w:val="28"/>
          <w:rtl/>
        </w:rPr>
        <w:t>العرف .</w:t>
      </w:r>
      <w:proofErr w:type="gramEnd"/>
      <w:r w:rsidRPr="00E264DE">
        <w:rPr>
          <w:rFonts w:ascii="Simplified Arabic" w:eastAsia="Times New Roman" w:hAnsi="Simplified Arabic" w:cs="Simplified Arabic"/>
          <w:sz w:val="28"/>
          <w:szCs w:val="28"/>
          <w:rtl/>
        </w:rPr>
        <w:t xml:space="preserve"> واقع . إستقلال محكمة الموضوع بتجربة والتثبت من قيامه عدم جواز إثارته لأول مرة أمام محكمة النقض .</w:t>
      </w:r>
    </w:p>
    <w:p w:rsidR="00E264DE" w:rsidRPr="00E264DE" w:rsidRDefault="00E264DE" w:rsidP="00E264DE">
      <w:pPr>
        <w:spacing w:after="0" w:line="240" w:lineRule="auto"/>
        <w:jc w:val="lowKashida"/>
        <w:rPr>
          <w:rFonts w:ascii="Times New Roman" w:eastAsia="Times New Roman" w:hAnsi="Times New Roman" w:cs="Simplified Arabic"/>
          <w:b/>
          <w:bCs/>
          <w:sz w:val="28"/>
          <w:szCs w:val="24"/>
        </w:rPr>
      </w:pPr>
    </w:p>
    <w:p w:rsidR="00E264DE" w:rsidRPr="00E264DE" w:rsidRDefault="00E264DE" w:rsidP="00E264DE">
      <w:pPr>
        <w:spacing w:after="0" w:line="240" w:lineRule="auto"/>
        <w:jc w:val="lowKashida"/>
        <w:rPr>
          <w:rFonts w:ascii="Times New Roman" w:eastAsia="Times New Roman" w:hAnsi="Times New Roman" w:cs="Simplified Arabic"/>
          <w:b/>
          <w:bCs/>
          <w:sz w:val="28"/>
          <w:szCs w:val="24"/>
        </w:rPr>
      </w:pPr>
    </w:p>
    <w:p w:rsidR="00E264DE" w:rsidRPr="00E264DE" w:rsidRDefault="00E264DE" w:rsidP="00E264DE">
      <w:pPr>
        <w:spacing w:after="0" w:line="240" w:lineRule="auto"/>
        <w:jc w:val="lowKashida"/>
        <w:rPr>
          <w:rFonts w:ascii="Times New Roman" w:eastAsia="Times New Roman" w:hAnsi="Times New Roman" w:cs="Simplified Arabic"/>
          <w:b/>
          <w:bCs/>
          <w:sz w:val="28"/>
          <w:szCs w:val="24"/>
        </w:rPr>
      </w:pPr>
      <w:r w:rsidRPr="00E264DE">
        <w:rPr>
          <w:rFonts w:ascii="Simplified Arabic" w:eastAsia="Times New Roman" w:hAnsi="Simplified Arabic" w:cs="Simplified Arabic"/>
          <w:b/>
          <w:bCs/>
          <w:sz w:val="32"/>
          <w:szCs w:val="32"/>
          <w:rtl/>
        </w:rPr>
        <w:t xml:space="preserve">(2) </w:t>
      </w:r>
      <w:r w:rsidRPr="00E264DE">
        <w:rPr>
          <w:rFonts w:ascii="Simplified Arabic" w:eastAsia="Times New Roman" w:hAnsi="Simplified Arabic" w:cs="Simplified Arabic"/>
          <w:b/>
          <w:bCs/>
          <w:sz w:val="28"/>
          <w:szCs w:val="24"/>
          <w:rtl/>
        </w:rPr>
        <w:t xml:space="preserve">    </w:t>
      </w:r>
      <w:r w:rsidRPr="00E264DE">
        <w:rPr>
          <w:rFonts w:ascii="Simplified Arabic" w:eastAsia="Times New Roman" w:hAnsi="Simplified Arabic" w:cs="Simplified Arabic"/>
          <w:b/>
          <w:bCs/>
          <w:sz w:val="28"/>
          <w:szCs w:val="28"/>
          <w:rtl/>
        </w:rPr>
        <w:t>إثبات</w:t>
      </w:r>
    </w:p>
    <w:p w:rsidR="00E264DE" w:rsidRPr="00E264DE" w:rsidRDefault="00E264DE" w:rsidP="00E264DE">
      <w:pPr>
        <w:spacing w:after="0" w:line="240" w:lineRule="auto"/>
        <w:jc w:val="lowKashida"/>
        <w:rPr>
          <w:rFonts w:ascii="Times New Roman" w:eastAsia="Times New Roman" w:hAnsi="Times New Roman" w:cs="Simplified Arabic"/>
          <w:b/>
          <w:bCs/>
          <w:sz w:val="28"/>
          <w:szCs w:val="24"/>
        </w:rPr>
      </w:pPr>
      <w:r w:rsidRPr="00E264DE">
        <w:rPr>
          <w:rFonts w:ascii="Simplified Arabic" w:eastAsia="Times New Roman" w:hAnsi="Simplified Arabic" w:cs="Simplified Arabic"/>
          <w:sz w:val="28"/>
          <w:szCs w:val="24"/>
          <w:rtl/>
        </w:rPr>
        <w:t xml:space="preserve"> </w:t>
      </w:r>
    </w:p>
    <w:p w:rsidR="00E264DE" w:rsidRPr="00E264DE" w:rsidRDefault="00E264DE" w:rsidP="00E264DE">
      <w:pPr>
        <w:spacing w:after="0" w:line="240" w:lineRule="auto"/>
        <w:jc w:val="lowKashida"/>
        <w:rPr>
          <w:rFonts w:ascii="Times New Roman" w:eastAsia="Times New Roman" w:hAnsi="Times New Roman" w:cs="Simplified Arabic"/>
          <w:b/>
          <w:bCs/>
          <w:sz w:val="28"/>
          <w:szCs w:val="24"/>
        </w:rPr>
      </w:pPr>
    </w:p>
    <w:p w:rsidR="00E264DE" w:rsidRPr="00E264DE" w:rsidRDefault="00E264DE" w:rsidP="00E264DE">
      <w:pPr>
        <w:spacing w:after="0" w:line="240" w:lineRule="auto"/>
        <w:jc w:val="lowKashida"/>
        <w:rPr>
          <w:rFonts w:ascii="Simplified Arabic" w:eastAsia="Times New Roman" w:hAnsi="Simplified Arabic" w:cs="Simplified Arabic"/>
          <w:b/>
          <w:bCs/>
          <w:sz w:val="28"/>
          <w:szCs w:val="24"/>
        </w:rPr>
      </w:pPr>
      <w:r w:rsidRPr="00E264DE">
        <w:rPr>
          <w:rFonts w:ascii="Simplified Arabic" w:eastAsia="Times New Roman" w:hAnsi="Simplified Arabic" w:cs="Simplified Arabic"/>
          <w:b/>
          <w:bCs/>
          <w:sz w:val="32"/>
          <w:szCs w:val="32"/>
          <w:rtl/>
        </w:rPr>
        <w:t xml:space="preserve">(3) </w:t>
      </w:r>
      <w:r w:rsidRPr="00E264DE">
        <w:rPr>
          <w:rFonts w:ascii="Simplified Arabic" w:eastAsia="Times New Roman" w:hAnsi="Simplified Arabic" w:cs="Simplified Arabic"/>
          <w:b/>
          <w:bCs/>
          <w:sz w:val="28"/>
          <w:szCs w:val="24"/>
          <w:rtl/>
        </w:rPr>
        <w:t xml:space="preserve">    </w:t>
      </w:r>
      <w:r w:rsidRPr="00E264DE">
        <w:rPr>
          <w:rFonts w:ascii="Simplified Arabic" w:eastAsia="Times New Roman" w:hAnsi="Simplified Arabic" w:cs="Simplified Arabic"/>
          <w:b/>
          <w:bCs/>
          <w:sz w:val="28"/>
          <w:szCs w:val="28"/>
          <w:rtl/>
        </w:rPr>
        <w:t>إيجار</w:t>
      </w:r>
    </w:p>
    <w:p w:rsidR="00E264DE" w:rsidRPr="00E264DE" w:rsidRDefault="00E264DE" w:rsidP="00E264DE">
      <w:pPr>
        <w:spacing w:after="0" w:line="240" w:lineRule="auto"/>
        <w:jc w:val="lowKashida"/>
        <w:rPr>
          <w:rFonts w:ascii="Times New Roman" w:eastAsia="Times New Roman" w:hAnsi="Times New Roman" w:cs="Simplified Arabic"/>
          <w:sz w:val="28"/>
          <w:szCs w:val="28"/>
          <w:rtl/>
        </w:rPr>
      </w:pPr>
      <w:r w:rsidRPr="00E264DE">
        <w:rPr>
          <w:rFonts w:ascii="Times New Roman" w:eastAsia="Times New Roman" w:hAnsi="Times New Roman" w:cs="Simplified Arabic"/>
          <w:sz w:val="28"/>
          <w:szCs w:val="28"/>
        </w:rPr>
        <w:t>-</w:t>
      </w:r>
      <w:r w:rsidRPr="00E264DE">
        <w:rPr>
          <w:rFonts w:ascii="Simplified Arabic" w:eastAsia="Times New Roman" w:hAnsi="Simplified Arabic" w:cs="Simplified Arabic"/>
          <w:sz w:val="28"/>
          <w:szCs w:val="28"/>
          <w:rtl/>
        </w:rPr>
        <w:t xml:space="preserve"> أجرة الأساس للأماكن الخاضعة للمادة 4 ق 121 لسنة </w:t>
      </w:r>
      <w:proofErr w:type="gramStart"/>
      <w:r w:rsidRPr="00E264DE">
        <w:rPr>
          <w:rFonts w:ascii="Simplified Arabic" w:eastAsia="Times New Roman" w:hAnsi="Simplified Arabic" w:cs="Simplified Arabic"/>
          <w:sz w:val="28"/>
          <w:szCs w:val="28"/>
          <w:rtl/>
        </w:rPr>
        <w:t>1947 .</w:t>
      </w:r>
      <w:proofErr w:type="gramEnd"/>
      <w:r w:rsidRPr="00E264DE">
        <w:rPr>
          <w:rFonts w:ascii="Simplified Arabic" w:eastAsia="Times New Roman" w:hAnsi="Simplified Arabic" w:cs="Simplified Arabic"/>
          <w:sz w:val="28"/>
          <w:szCs w:val="28"/>
          <w:rtl/>
        </w:rPr>
        <w:t xml:space="preserve"> ماهيتها . تحديد الأجرة إستنادا إلى اتفاق الطرفين على حقيقة أجرة الأساس . لا خطأ</w:t>
      </w:r>
    </w:p>
    <w:p w:rsidR="00E264DE" w:rsidRPr="00E264DE" w:rsidRDefault="00E264DE" w:rsidP="00E264DE">
      <w:pPr>
        <w:spacing w:after="0" w:line="240" w:lineRule="auto"/>
        <w:jc w:val="lowKashida"/>
        <w:rPr>
          <w:rFonts w:ascii="Simplified Arabic" w:eastAsia="Times New Roman" w:hAnsi="Simplified Arabic" w:cs="Simplified Arabic"/>
          <w:b/>
          <w:bCs/>
          <w:sz w:val="28"/>
          <w:szCs w:val="24"/>
        </w:rPr>
      </w:pPr>
    </w:p>
    <w:p w:rsidR="00E264DE" w:rsidRPr="00E264DE" w:rsidRDefault="00E264DE" w:rsidP="00E264DE">
      <w:pPr>
        <w:spacing w:after="0" w:line="240" w:lineRule="auto"/>
        <w:jc w:val="center"/>
        <w:rPr>
          <w:rFonts w:ascii="Times New Roman" w:eastAsia="Times New Roman" w:hAnsi="Times New Roman" w:cs="PT Bold Heading"/>
          <w:b/>
          <w:bCs/>
          <w:color w:val="008000"/>
          <w:sz w:val="32"/>
          <w:szCs w:val="32"/>
          <w:rtl/>
          <w:lang w:eastAsia="ar-SA"/>
        </w:rPr>
      </w:pPr>
      <w:r w:rsidRPr="00E264DE">
        <w:rPr>
          <w:rFonts w:ascii="Times New Roman" w:eastAsia="Times New Roman" w:hAnsi="Times New Roman" w:cs="PT Bold Heading" w:hint="cs"/>
          <w:b/>
          <w:bCs/>
          <w:color w:val="008000"/>
          <w:sz w:val="32"/>
          <w:szCs w:val="32"/>
          <w:rtl/>
          <w:lang w:eastAsia="ar-SA"/>
        </w:rPr>
        <w:t>القاعدة</w:t>
      </w:r>
    </w:p>
    <w:p w:rsidR="00E264DE" w:rsidRPr="00E264DE" w:rsidRDefault="00E264DE" w:rsidP="00E264DE">
      <w:pPr>
        <w:spacing w:after="0" w:line="240" w:lineRule="auto"/>
        <w:jc w:val="lowKashida"/>
        <w:rPr>
          <w:rFonts w:ascii="Times New Roman" w:eastAsia="Times New Roman" w:hAnsi="Times New Roman" w:cs="Simplified Arabic"/>
          <w:sz w:val="28"/>
          <w:szCs w:val="28"/>
        </w:rPr>
      </w:pPr>
      <w:r w:rsidRPr="00E264DE">
        <w:rPr>
          <w:rFonts w:ascii="Simplified Arabic" w:eastAsia="Times New Roman" w:hAnsi="Simplified Arabic" w:cs="Simplified Arabic"/>
          <w:sz w:val="28"/>
          <w:szCs w:val="28"/>
          <w:rtl/>
        </w:rPr>
        <w:t>1- المقرر أنه لا يجوز التمسك أمام محكمة النقض لأول مرة بسبب لم يسبق إبداءه أمام محكمة الموضوع ، ما لم يكن سبباً قانونياً صرفاً لا يخالطه واقع ، و تحدى العرف فى ذاته و التثبيت من قيامه هو - و على ما جرى به قضاء هذه المحكمة - من أمور الواقع التى تستقل به محكمة الموضوع بغير معقب عليها من محكمة النقض ، و إذ كان الخبير المنتدب فى الدعوى قد قيم ميزة التصريح للطاعن بتأجير محلات النزاع من الباطن بنسبة 70 % من القيمة الإيجارية إستناداً إلى أن العرف قد جرى تقديرها بتلك النسبة ، و كان الطاعنان لم يقدما ما يثبت أنهما تمسكا أمام محكمة الموضوع بما أثاراه فى سبب النعى ، فإن النعى على الحكم بهذا السبب يضحى غير مقبول .</w:t>
      </w:r>
    </w:p>
    <w:p w:rsidR="00E264DE" w:rsidRPr="00E264DE" w:rsidRDefault="00E264DE" w:rsidP="00E264DE">
      <w:pPr>
        <w:spacing w:after="0" w:line="240" w:lineRule="auto"/>
        <w:jc w:val="lowKashida"/>
        <w:rPr>
          <w:rFonts w:ascii="Times New Roman" w:eastAsia="Times New Roman" w:hAnsi="Times New Roman" w:cs="Simplified Arabic"/>
          <w:sz w:val="28"/>
          <w:szCs w:val="28"/>
        </w:rPr>
      </w:pPr>
    </w:p>
    <w:p w:rsidR="00E264DE" w:rsidRPr="00E264DE" w:rsidRDefault="00E264DE" w:rsidP="00E264DE">
      <w:pPr>
        <w:spacing w:after="0" w:line="240" w:lineRule="auto"/>
        <w:jc w:val="lowKashida"/>
        <w:rPr>
          <w:rFonts w:ascii="Times New Roman" w:eastAsia="Times New Roman" w:hAnsi="Times New Roman" w:cs="Simplified Arabic"/>
          <w:sz w:val="28"/>
          <w:szCs w:val="28"/>
        </w:rPr>
      </w:pPr>
      <w:r w:rsidRPr="00E264DE">
        <w:rPr>
          <w:rFonts w:ascii="Simplified Arabic" w:eastAsia="Times New Roman" w:hAnsi="Simplified Arabic" w:cs="Simplified Arabic"/>
          <w:sz w:val="28"/>
          <w:szCs w:val="28"/>
          <w:rtl/>
        </w:rPr>
        <w:t>2- النص فى المادة 9 من قانون الإثبات على أن " للمحكمة أن تعدل عما أمرت به من إجراءات الإثبات بشرط أن تبين أسباب العدول بالمحضر و يجوز ألا تأخذ بنتيجة الإجراء بشرط أن تبين أسباب ذلك فى حكمها " يدل على أن المشرع إنما قصد من الإكتفاء ببيان أسباب العدول بمحضر الجلسة - خلافاً لما أوجبته فى حالة عدم الأخذ بنتيجة الإجراء من تبيان أسباب ذلك فى الحكم إلى مراعاة جانب التيسير مما مؤداه أن إبداء سبب العدول عن الإجراء بأسباب الحكم يكون أكثر تحقيقاً لمراد المشرع .</w:t>
      </w:r>
    </w:p>
    <w:p w:rsidR="00E264DE" w:rsidRPr="00E264DE" w:rsidRDefault="00E264DE" w:rsidP="00E264DE">
      <w:pPr>
        <w:spacing w:after="0" w:line="240" w:lineRule="auto"/>
        <w:jc w:val="lowKashida"/>
        <w:rPr>
          <w:rFonts w:ascii="Times New Roman" w:eastAsia="Times New Roman" w:hAnsi="Times New Roman" w:cs="Simplified Arabic"/>
          <w:sz w:val="28"/>
          <w:szCs w:val="28"/>
        </w:rPr>
      </w:pPr>
    </w:p>
    <w:p w:rsidR="00E264DE" w:rsidRPr="00E264DE" w:rsidRDefault="00E264DE" w:rsidP="00E264DE">
      <w:pPr>
        <w:spacing w:after="0" w:line="240" w:lineRule="auto"/>
        <w:jc w:val="lowKashida"/>
        <w:rPr>
          <w:rFonts w:ascii="Times New Roman" w:eastAsia="Times New Roman" w:hAnsi="Times New Roman" w:cs="Simplified Arabic"/>
          <w:sz w:val="28"/>
          <w:szCs w:val="28"/>
        </w:rPr>
      </w:pPr>
      <w:r w:rsidRPr="00E264DE">
        <w:rPr>
          <w:rFonts w:ascii="Simplified Arabic" w:eastAsia="Times New Roman" w:hAnsi="Simplified Arabic" w:cs="Simplified Arabic"/>
          <w:sz w:val="28"/>
          <w:szCs w:val="28"/>
          <w:rtl/>
        </w:rPr>
        <w:t>3- النص فى المادة الرابعة من القانون 121 لسنة 1947 على أنه " لا يجوز أن تزيد الأجرة المتفق عليها فى عقود الإيجار التى أبرمت من أول مايو 1941 على أجرة شهر أبريل 1941 أو أجرة المثل لهذا الشهر إلا بمقدار ما يأتى ............. " يدل على أن القانون إتخذ أساساً لحساب الحد الأقصى لأجرة هذه الفئة من الأماكن الأجرة الفعلية التى كانت العين مؤجرة بها فى شهر إبريل 1941 فإذا لم تكن العين مؤجرة فى هذا التاريخ وجب التعويل على أجرة المثل عن ذلك الشهر ، لما كان ذلك و كان الحكم المطعون فيه قد عول فى تحديد أجرة المحل رقم 7 على ما ثبت من أنه كان موضوع عقد إيجار مستقل مؤرخ 1941-4-1 و أن طرفى الدعوى قد تلاقيا على أن أجرته كانت عشرة جنيهات مما مؤداه أن هذا الأمر لم يكن محل نزاع يقتضى من الحكم فصلاً فيه ، و كان لا وجه لإفتراض مخالفة ما تلاقيا عليه للقانون لأن الأصل فى التصرفات هو المشروعية ، فإن الحكم يكون قد إلتزم صحيح القانون .</w:t>
      </w:r>
    </w:p>
    <w:p w:rsidR="00E264DE" w:rsidRPr="00E264DE" w:rsidRDefault="00E264DE" w:rsidP="00E264DE">
      <w:pPr>
        <w:spacing w:after="0" w:line="240" w:lineRule="auto"/>
        <w:jc w:val="lowKashida"/>
        <w:rPr>
          <w:rFonts w:ascii="Times New Roman" w:eastAsia="Times New Roman" w:hAnsi="Times New Roman" w:cs="Simplified Arabic"/>
          <w:sz w:val="28"/>
          <w:szCs w:val="28"/>
        </w:rPr>
      </w:pPr>
    </w:p>
    <w:p w:rsidR="00E264DE" w:rsidRPr="00E264DE" w:rsidRDefault="00E264DE" w:rsidP="00E264DE">
      <w:pPr>
        <w:spacing w:after="0" w:line="240" w:lineRule="auto"/>
        <w:jc w:val="center"/>
        <w:rPr>
          <w:rFonts w:ascii="Times New Roman" w:eastAsia="Times New Roman" w:hAnsi="Times New Roman" w:cs="Simplified Arabic"/>
          <w:sz w:val="24"/>
          <w:szCs w:val="24"/>
        </w:rPr>
      </w:pPr>
      <w:r w:rsidRPr="00E264DE">
        <w:rPr>
          <w:rFonts w:ascii="Simplified Arabic" w:eastAsia="Times New Roman" w:hAnsi="Simplified Arabic" w:cs="Simplified Arabic"/>
          <w:sz w:val="24"/>
          <w:szCs w:val="24"/>
          <w:rtl/>
        </w:rPr>
        <w:t>" سنة المكتب الفنى "  30 " رقم الصفحة -  48 -  قاعدة رقم –   -  "</w:t>
      </w:r>
    </w:p>
    <w:p w:rsidR="00E264DE" w:rsidRPr="00E264DE" w:rsidRDefault="00E264DE" w:rsidP="00E264DE">
      <w:pPr>
        <w:spacing w:after="0" w:line="240" w:lineRule="auto"/>
        <w:rPr>
          <w:rFonts w:ascii="Times New Roman" w:eastAsia="Times New Roman" w:hAnsi="Times New Roman" w:cs="Times New Roman"/>
          <w:sz w:val="24"/>
          <w:szCs w:val="24"/>
        </w:rPr>
      </w:pPr>
    </w:p>
    <w:p w:rsidR="003E5EDE" w:rsidRPr="00E264DE" w:rsidRDefault="003E5EDE">
      <w:bookmarkStart w:id="0" w:name="_GoBack"/>
      <w:bookmarkEnd w:id="0"/>
    </w:p>
    <w:sectPr w:rsidR="003E5EDE" w:rsidRPr="00E264DE" w:rsidSect="0003272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PT Bold Heading">
    <w:panose1 w:val="02010400000000000000"/>
    <w:charset w:val="B2"/>
    <w:family w:val="auto"/>
    <w:pitch w:val="variable"/>
    <w:sig w:usb0="00002001" w:usb1="80000000" w:usb2="00000008" w:usb3="00000000" w:csb0="00000040"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40FD"/>
    <w:rsid w:val="0003272B"/>
    <w:rsid w:val="003E5EDE"/>
    <w:rsid w:val="004540FD"/>
    <w:rsid w:val="00E264D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1282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356</Words>
  <Characters>2030</Characters>
  <Application>Microsoft Office Word</Application>
  <DocSecurity>0</DocSecurity>
  <Lines>16</Lines>
  <Paragraphs>4</Paragraphs>
  <ScaleCrop>false</ScaleCrop>
  <Company/>
  <LinksUpToDate>false</LinksUpToDate>
  <CharactersWithSpaces>2382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asdd</dc:creator>
  <cp:keywords/>
  <dc:description/>
  <cp:lastModifiedBy>asdd</cp:lastModifiedBy>
  <cp:revision>2</cp:revision>
  <dcterms:created xsi:type="dcterms:W3CDTF">2020-06-03T14:30:00Z</dcterms:created>
  <dcterms:modified xsi:type="dcterms:W3CDTF">2020-06-03T14:30:00Z</dcterms:modified>
</cp:coreProperties>
</file>