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239" w:rsidRPr="001E2239" w:rsidRDefault="001E2239" w:rsidP="001E2239">
      <w:pPr>
        <w:spacing w:after="0" w:line="240" w:lineRule="auto"/>
        <w:jc w:val="center"/>
        <w:rPr>
          <w:rFonts w:ascii="Times New Roman" w:eastAsia="Times New Roman" w:hAnsi="Times New Roman" w:cs="PT Bold Heading"/>
          <w:b/>
          <w:bCs/>
          <w:color w:val="008000"/>
          <w:sz w:val="32"/>
          <w:szCs w:val="32"/>
          <w:lang w:eastAsia="ar-SA"/>
        </w:rPr>
      </w:pPr>
      <w:r w:rsidRPr="001E2239">
        <w:rPr>
          <w:rFonts w:ascii="Times New Roman" w:eastAsia="Times New Roman" w:hAnsi="Times New Roman" w:cs="PT Bold Heading" w:hint="cs"/>
          <w:b/>
          <w:bCs/>
          <w:color w:val="008000"/>
          <w:sz w:val="32"/>
          <w:szCs w:val="32"/>
          <w:rtl/>
          <w:lang w:eastAsia="ar-SA"/>
        </w:rPr>
        <w:t xml:space="preserve">الطعن رقم 867  لسنة 45 ق </w:t>
      </w:r>
      <w:r w:rsidRPr="001E2239">
        <w:rPr>
          <w:rFonts w:ascii="Times New Roman" w:eastAsia="Times New Roman" w:hAnsi="Times New Roman" w:cs="Times New Roman" w:hint="cs"/>
          <w:b/>
          <w:bCs/>
          <w:color w:val="008000"/>
          <w:sz w:val="32"/>
          <w:szCs w:val="32"/>
          <w:rtl/>
          <w:lang w:eastAsia="ar-SA"/>
        </w:rPr>
        <w:t>-</w:t>
      </w:r>
      <w:r w:rsidRPr="001E2239">
        <w:rPr>
          <w:rFonts w:ascii="Times New Roman" w:eastAsia="Times New Roman" w:hAnsi="Times New Roman" w:cs="PT Bold Heading" w:hint="cs"/>
          <w:b/>
          <w:bCs/>
          <w:color w:val="008000"/>
          <w:sz w:val="32"/>
          <w:szCs w:val="32"/>
          <w:rtl/>
          <w:lang w:eastAsia="ar-SA"/>
        </w:rPr>
        <w:t xml:space="preserve"> جلسة 1-1-1979</w:t>
      </w:r>
    </w:p>
    <w:p w:rsidR="001E2239" w:rsidRPr="001E2239" w:rsidRDefault="001E2239" w:rsidP="001E2239">
      <w:pPr>
        <w:spacing w:after="0" w:line="240" w:lineRule="auto"/>
        <w:jc w:val="center"/>
        <w:rPr>
          <w:rFonts w:ascii="Times New Roman" w:eastAsia="Times New Roman" w:hAnsi="Times New Roman" w:cs="PT Bold Heading"/>
          <w:b/>
          <w:bCs/>
          <w:color w:val="008000"/>
          <w:sz w:val="32"/>
          <w:szCs w:val="32"/>
          <w:lang w:eastAsia="ar-SA"/>
        </w:rPr>
      </w:pPr>
      <w:r w:rsidRPr="001E2239">
        <w:rPr>
          <w:rFonts w:ascii="Times New Roman" w:eastAsia="Times New Roman" w:hAnsi="Times New Roman" w:cs="PT Bold Heading" w:hint="cs"/>
          <w:b/>
          <w:bCs/>
          <w:color w:val="008000"/>
          <w:sz w:val="32"/>
          <w:szCs w:val="32"/>
          <w:rtl/>
          <w:lang w:eastAsia="ar-SA"/>
        </w:rPr>
        <w:t>الموضوع ،  و  الموجز :</w:t>
      </w:r>
    </w:p>
    <w:p w:rsidR="001E2239" w:rsidRPr="001E2239" w:rsidRDefault="001E2239" w:rsidP="001E2239">
      <w:pPr>
        <w:spacing w:after="0" w:line="240" w:lineRule="auto"/>
        <w:jc w:val="lowKashida"/>
        <w:rPr>
          <w:rFonts w:ascii="Times New Roman" w:eastAsia="Times New Roman" w:hAnsi="Times New Roman" w:cs="Simplified Arabic"/>
          <w:b/>
          <w:bCs/>
          <w:sz w:val="32"/>
          <w:szCs w:val="32"/>
        </w:rPr>
      </w:pPr>
    </w:p>
    <w:p w:rsidR="001E2239" w:rsidRPr="001E2239" w:rsidRDefault="001E2239" w:rsidP="001E2239">
      <w:pPr>
        <w:spacing w:after="0" w:line="240" w:lineRule="auto"/>
        <w:jc w:val="lowKashida"/>
        <w:rPr>
          <w:rFonts w:ascii="Times New Roman" w:eastAsia="Times New Roman" w:hAnsi="Times New Roman" w:cs="Simplified Arabic"/>
          <w:b/>
          <w:bCs/>
          <w:sz w:val="28"/>
          <w:szCs w:val="28"/>
        </w:rPr>
      </w:pPr>
      <w:r w:rsidRPr="001E2239">
        <w:rPr>
          <w:rFonts w:ascii="Simplified Arabic" w:eastAsia="Times New Roman" w:hAnsi="Simplified Arabic" w:cs="Simplified Arabic"/>
          <w:b/>
          <w:bCs/>
          <w:sz w:val="32"/>
          <w:szCs w:val="32"/>
          <w:rtl/>
        </w:rPr>
        <w:t xml:space="preserve">(1) </w:t>
      </w:r>
      <w:r w:rsidRPr="001E2239">
        <w:rPr>
          <w:rFonts w:ascii="Simplified Arabic" w:eastAsia="Times New Roman" w:hAnsi="Simplified Arabic" w:cs="Simplified Arabic"/>
          <w:b/>
          <w:bCs/>
          <w:sz w:val="28"/>
          <w:szCs w:val="24"/>
          <w:rtl/>
        </w:rPr>
        <w:t xml:space="preserve">   </w:t>
      </w:r>
      <w:r w:rsidRPr="001E2239">
        <w:rPr>
          <w:rFonts w:ascii="Simplified Arabic" w:eastAsia="Times New Roman" w:hAnsi="Simplified Arabic" w:cs="Simplified Arabic"/>
          <w:b/>
          <w:bCs/>
          <w:sz w:val="28"/>
          <w:szCs w:val="28"/>
          <w:rtl/>
        </w:rPr>
        <w:t xml:space="preserve"> أمر أداء </w:t>
      </w:r>
    </w:p>
    <w:p w:rsidR="001E2239" w:rsidRPr="001E2239" w:rsidRDefault="001E2239" w:rsidP="001E2239">
      <w:pPr>
        <w:spacing w:after="0" w:line="240" w:lineRule="auto"/>
        <w:jc w:val="lowKashida"/>
        <w:rPr>
          <w:rFonts w:ascii="Times New Roman" w:eastAsia="Times New Roman" w:hAnsi="Times New Roman" w:cs="Simplified Arabic"/>
          <w:sz w:val="28"/>
          <w:szCs w:val="28"/>
        </w:rPr>
      </w:pPr>
      <w:r w:rsidRPr="001E2239">
        <w:rPr>
          <w:rFonts w:ascii="Times New Roman" w:eastAsia="Times New Roman" w:hAnsi="Times New Roman" w:cs="Simplified Arabic"/>
          <w:sz w:val="28"/>
          <w:szCs w:val="28"/>
        </w:rPr>
        <w:t>-</w:t>
      </w:r>
      <w:r w:rsidRPr="001E2239">
        <w:rPr>
          <w:rFonts w:ascii="Simplified Arabic" w:eastAsia="Times New Roman" w:hAnsi="Simplified Arabic" w:cs="Simplified Arabic"/>
          <w:sz w:val="28"/>
          <w:szCs w:val="28"/>
          <w:rtl/>
        </w:rPr>
        <w:t xml:space="preserve"> التجاء الدائن إلى طريق إستصدار أمر </w:t>
      </w:r>
      <w:proofErr w:type="gramStart"/>
      <w:r w:rsidRPr="001E2239">
        <w:rPr>
          <w:rFonts w:ascii="Simplified Arabic" w:eastAsia="Times New Roman" w:hAnsi="Simplified Arabic" w:cs="Simplified Arabic"/>
          <w:sz w:val="28"/>
          <w:szCs w:val="28"/>
          <w:rtl/>
        </w:rPr>
        <w:t>الأداء .</w:t>
      </w:r>
      <w:proofErr w:type="gramEnd"/>
      <w:r w:rsidRPr="001E2239">
        <w:rPr>
          <w:rFonts w:ascii="Simplified Arabic" w:eastAsia="Times New Roman" w:hAnsi="Simplified Arabic" w:cs="Simplified Arabic"/>
          <w:sz w:val="28"/>
          <w:szCs w:val="28"/>
          <w:rtl/>
        </w:rPr>
        <w:t xml:space="preserve"> شرطه. وجوب ألا يكون الحق حسب الظاهر من عبارات الورقة قابلا للمنازعة فيه . مثال بشأن المطالبة بثمن إطارات ورسا مزادها على المدين .</w:t>
      </w:r>
    </w:p>
    <w:p w:rsidR="001E2239" w:rsidRPr="001E2239" w:rsidRDefault="001E2239" w:rsidP="001E2239">
      <w:pPr>
        <w:spacing w:after="0" w:line="240" w:lineRule="auto"/>
        <w:jc w:val="lowKashida"/>
        <w:rPr>
          <w:rFonts w:ascii="Simplified Arabic" w:eastAsia="Times New Roman" w:hAnsi="Simplified Arabic" w:cs="Simplified Arabic"/>
          <w:b/>
          <w:bCs/>
          <w:sz w:val="28"/>
          <w:szCs w:val="24"/>
        </w:rPr>
      </w:pPr>
    </w:p>
    <w:p w:rsidR="001E2239" w:rsidRPr="001E2239" w:rsidRDefault="001E2239" w:rsidP="001E2239">
      <w:pPr>
        <w:spacing w:after="0" w:line="240" w:lineRule="auto"/>
        <w:jc w:val="lowKashida"/>
        <w:rPr>
          <w:rFonts w:ascii="Times New Roman" w:eastAsia="Times New Roman" w:hAnsi="Times New Roman" w:cs="Simplified Arabic"/>
          <w:b/>
          <w:bCs/>
          <w:sz w:val="28"/>
          <w:szCs w:val="24"/>
          <w:rtl/>
        </w:rPr>
      </w:pPr>
    </w:p>
    <w:p w:rsidR="001E2239" w:rsidRPr="001E2239" w:rsidRDefault="001E2239" w:rsidP="001E2239">
      <w:pPr>
        <w:spacing w:after="0" w:line="240" w:lineRule="auto"/>
        <w:jc w:val="center"/>
        <w:rPr>
          <w:rFonts w:ascii="Times New Roman" w:eastAsia="Times New Roman" w:hAnsi="Times New Roman" w:cs="PT Bold Heading"/>
          <w:b/>
          <w:bCs/>
          <w:color w:val="008000"/>
          <w:sz w:val="32"/>
          <w:szCs w:val="32"/>
          <w:lang w:eastAsia="ar-SA"/>
        </w:rPr>
      </w:pPr>
      <w:r w:rsidRPr="001E2239">
        <w:rPr>
          <w:rFonts w:ascii="Times New Roman" w:eastAsia="Times New Roman" w:hAnsi="Times New Roman" w:cs="PT Bold Heading" w:hint="cs"/>
          <w:b/>
          <w:bCs/>
          <w:color w:val="008000"/>
          <w:sz w:val="32"/>
          <w:szCs w:val="32"/>
          <w:rtl/>
          <w:lang w:eastAsia="ar-SA"/>
        </w:rPr>
        <w:t>القاعدة</w:t>
      </w:r>
    </w:p>
    <w:p w:rsidR="001E2239" w:rsidRPr="001E2239" w:rsidRDefault="001E2239" w:rsidP="001E2239">
      <w:pPr>
        <w:spacing w:after="0" w:line="240" w:lineRule="auto"/>
        <w:jc w:val="lowKashida"/>
        <w:rPr>
          <w:rFonts w:ascii="Times New Roman" w:eastAsia="Times New Roman" w:hAnsi="Times New Roman" w:cs="Simplified Arabic" w:hint="cs"/>
          <w:sz w:val="28"/>
          <w:szCs w:val="28"/>
          <w:rtl/>
        </w:rPr>
      </w:pPr>
      <w:r w:rsidRPr="001E2239">
        <w:rPr>
          <w:rFonts w:ascii="Simplified Arabic" w:eastAsia="Times New Roman" w:hAnsi="Simplified Arabic" w:cs="Simplified Arabic"/>
          <w:sz w:val="28"/>
          <w:szCs w:val="28"/>
          <w:rtl/>
        </w:rPr>
        <w:t>1- المستفاد من نص المادة 201 مرافعات أن طريق أوامر الأداء هو إستثناء من القواعد العامة فى رفع الدعاوى إبتداء لا يجوز التوسع فيه ولا يجوز سلوكه إلا إذا كان حق الدائن ثابتاً بالكتابة و حال الأداء و كان كل ما يطالب به ديناً من النقود معين المقدار أو منقولاً معيناً بنوعه و مقداره . و المقصود بكونه معين المقدار ألا يكون الحق الظاهر من عبارات الورقة قابلاً للمنازعة فيه و إذ كان الثابت أن الحق موضوع المطالبة هو باقى ثمن إطارات رسا على الطاعن مزادها و نكل عن تنفيذ إلتزامه بإستلامها فإن الحق لا تتوافر فيه الشروط المتقدمة التى يجب معها إستصدار أمر بأدائه إذ هو غير مثبت بمقداره فى سند كتابى يحمل توقيع الطاعن فضلاً عن أن مثار نزاع منذ البداية حول إستحقاقه و مقداره . و من ثم فلا تكون المطالبة به إلا بطريق الدعوى العادية .</w:t>
      </w:r>
    </w:p>
    <w:p w:rsidR="001E2239" w:rsidRPr="001E2239" w:rsidRDefault="001E2239" w:rsidP="001E2239">
      <w:pPr>
        <w:spacing w:after="0" w:line="240" w:lineRule="auto"/>
        <w:jc w:val="lowKashida"/>
        <w:rPr>
          <w:rFonts w:ascii="Times New Roman" w:eastAsia="Times New Roman" w:hAnsi="Times New Roman" w:cs="Simplified Arabic"/>
          <w:sz w:val="28"/>
          <w:szCs w:val="28"/>
        </w:rPr>
      </w:pPr>
    </w:p>
    <w:p w:rsidR="001E2239" w:rsidRPr="001E2239" w:rsidRDefault="001E2239" w:rsidP="001E2239">
      <w:pPr>
        <w:spacing w:after="0" w:line="240" w:lineRule="auto"/>
        <w:jc w:val="center"/>
        <w:rPr>
          <w:rFonts w:ascii="Times New Roman" w:eastAsia="Times New Roman" w:hAnsi="Times New Roman" w:cs="Simplified Arabic"/>
          <w:sz w:val="24"/>
          <w:szCs w:val="24"/>
        </w:rPr>
      </w:pPr>
      <w:r w:rsidRPr="001E2239">
        <w:rPr>
          <w:rFonts w:ascii="Simplified Arabic" w:eastAsia="Times New Roman" w:hAnsi="Simplified Arabic" w:cs="Simplified Arabic"/>
          <w:sz w:val="24"/>
          <w:szCs w:val="24"/>
          <w:rtl/>
        </w:rPr>
        <w:t>" سنة المكتب الفنى "  30 " رقم الصفحة - 100  -  قاعدة رقم –   -  "</w:t>
      </w:r>
    </w:p>
    <w:p w:rsidR="001E2239" w:rsidRPr="001E2239" w:rsidRDefault="001E2239" w:rsidP="001E2239">
      <w:pPr>
        <w:spacing w:after="0" w:line="240" w:lineRule="auto"/>
        <w:rPr>
          <w:rFonts w:ascii="Times New Roman" w:eastAsia="Times New Roman" w:hAnsi="Times New Roman" w:cs="Times New Roman"/>
          <w:sz w:val="24"/>
          <w:szCs w:val="24"/>
        </w:rPr>
      </w:pPr>
    </w:p>
    <w:p w:rsidR="003E5EDE" w:rsidRPr="001E2239" w:rsidRDefault="003E5EDE">
      <w:bookmarkStart w:id="0" w:name="_GoBack"/>
      <w:bookmarkEnd w:id="0"/>
    </w:p>
    <w:sectPr w:rsidR="003E5EDE" w:rsidRPr="001E223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F6"/>
    <w:rsid w:val="0003272B"/>
    <w:rsid w:val="001E2239"/>
    <w:rsid w:val="003E5EDE"/>
    <w:rsid w:val="00FE10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2020-06-03T13:19:00Z</dcterms:created>
  <dcterms:modified xsi:type="dcterms:W3CDTF">2020-06-03T13:19:00Z</dcterms:modified>
</cp:coreProperties>
</file>