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8A" w:rsidRPr="00DC1C8A" w:rsidRDefault="00DC1C8A" w:rsidP="00DC1C8A">
      <w:pPr>
        <w:spacing w:after="0" w:line="240" w:lineRule="auto"/>
        <w:jc w:val="center"/>
        <w:rPr>
          <w:rFonts w:ascii="Times New Roman" w:eastAsia="Times New Roman" w:hAnsi="Times New Roman" w:cs="PT Bold Heading"/>
          <w:b/>
          <w:bCs/>
          <w:color w:val="008000"/>
          <w:sz w:val="32"/>
          <w:szCs w:val="32"/>
          <w:lang w:eastAsia="ar-SA"/>
        </w:rPr>
      </w:pPr>
      <w:r w:rsidRPr="00DC1C8A">
        <w:rPr>
          <w:rFonts w:ascii="Times New Roman" w:eastAsia="Times New Roman" w:hAnsi="Times New Roman" w:cs="PT Bold Heading" w:hint="cs"/>
          <w:b/>
          <w:bCs/>
          <w:color w:val="008000"/>
          <w:sz w:val="32"/>
          <w:szCs w:val="32"/>
          <w:rtl/>
          <w:lang w:eastAsia="ar-SA"/>
        </w:rPr>
        <w:t xml:space="preserve">الطعن رقم 868 لسنة 48 ق </w:t>
      </w:r>
      <w:r w:rsidRPr="00DC1C8A">
        <w:rPr>
          <w:rFonts w:ascii="Times New Roman" w:eastAsia="Times New Roman" w:hAnsi="Times New Roman" w:cs="Times New Roman" w:hint="cs"/>
          <w:b/>
          <w:bCs/>
          <w:color w:val="008000"/>
          <w:sz w:val="32"/>
          <w:szCs w:val="32"/>
          <w:rtl/>
          <w:lang w:eastAsia="ar-SA"/>
        </w:rPr>
        <w:t>-</w:t>
      </w:r>
      <w:r w:rsidRPr="00DC1C8A">
        <w:rPr>
          <w:rFonts w:ascii="Times New Roman" w:eastAsia="Times New Roman" w:hAnsi="Times New Roman" w:cs="PT Bold Heading" w:hint="cs"/>
          <w:b/>
          <w:bCs/>
          <w:color w:val="008000"/>
          <w:sz w:val="32"/>
          <w:szCs w:val="32"/>
          <w:rtl/>
          <w:lang w:eastAsia="ar-SA"/>
        </w:rPr>
        <w:t xml:space="preserve"> جلسة10 -4-1979</w:t>
      </w:r>
    </w:p>
    <w:p w:rsidR="00DC1C8A" w:rsidRPr="00DC1C8A" w:rsidRDefault="00DC1C8A" w:rsidP="00DC1C8A">
      <w:pPr>
        <w:spacing w:after="0" w:line="240" w:lineRule="auto"/>
        <w:jc w:val="center"/>
        <w:rPr>
          <w:rFonts w:ascii="Times New Roman" w:eastAsia="Times New Roman" w:hAnsi="Times New Roman" w:cs="PT Bold Heading" w:hint="cs"/>
          <w:b/>
          <w:bCs/>
          <w:color w:val="008000"/>
          <w:sz w:val="32"/>
          <w:szCs w:val="32"/>
          <w:rtl/>
          <w:lang w:eastAsia="ar-SA"/>
        </w:rPr>
      </w:pPr>
      <w:r w:rsidRPr="00DC1C8A">
        <w:rPr>
          <w:rFonts w:ascii="Times New Roman" w:eastAsia="Times New Roman" w:hAnsi="Times New Roman" w:cs="PT Bold Heading" w:hint="cs"/>
          <w:b/>
          <w:bCs/>
          <w:color w:val="008000"/>
          <w:sz w:val="32"/>
          <w:szCs w:val="32"/>
          <w:rtl/>
          <w:lang w:eastAsia="ar-SA"/>
        </w:rPr>
        <w:t>الموضوع ،  و  الموجز :</w:t>
      </w:r>
    </w:p>
    <w:p w:rsidR="00DC1C8A" w:rsidRPr="00DC1C8A" w:rsidRDefault="00DC1C8A" w:rsidP="00DC1C8A">
      <w:pPr>
        <w:spacing w:after="0" w:line="240" w:lineRule="auto"/>
        <w:jc w:val="lowKashida"/>
        <w:rPr>
          <w:rFonts w:ascii="Times New Roman" w:eastAsia="Times New Roman" w:hAnsi="Times New Roman" w:cs="Simplified Arabic"/>
          <w:b/>
          <w:bCs/>
          <w:sz w:val="32"/>
          <w:szCs w:val="32"/>
        </w:rPr>
      </w:pPr>
    </w:p>
    <w:p w:rsidR="00DC1C8A" w:rsidRPr="00DC1C8A" w:rsidRDefault="00DC1C8A" w:rsidP="00DC1C8A">
      <w:pPr>
        <w:spacing w:after="0" w:line="240" w:lineRule="auto"/>
        <w:jc w:val="lowKashida"/>
        <w:rPr>
          <w:rFonts w:ascii="Times New Roman" w:eastAsia="Times New Roman" w:hAnsi="Times New Roman" w:cs="Simplified Arabic"/>
          <w:b/>
          <w:bCs/>
          <w:sz w:val="28"/>
          <w:szCs w:val="28"/>
        </w:rPr>
      </w:pPr>
      <w:r w:rsidRPr="00DC1C8A">
        <w:rPr>
          <w:rFonts w:ascii="Simplified Arabic" w:eastAsia="Times New Roman" w:hAnsi="Simplified Arabic" w:cs="Simplified Arabic"/>
          <w:b/>
          <w:bCs/>
          <w:sz w:val="32"/>
          <w:szCs w:val="32"/>
          <w:rtl/>
        </w:rPr>
        <w:t xml:space="preserve">(1) </w:t>
      </w:r>
      <w:r w:rsidRPr="00DC1C8A">
        <w:rPr>
          <w:rFonts w:ascii="Simplified Arabic" w:eastAsia="Times New Roman" w:hAnsi="Simplified Arabic" w:cs="Simplified Arabic"/>
          <w:b/>
          <w:bCs/>
          <w:sz w:val="28"/>
          <w:szCs w:val="24"/>
          <w:rtl/>
        </w:rPr>
        <w:t xml:space="preserve">   </w:t>
      </w:r>
      <w:r w:rsidRPr="00DC1C8A">
        <w:rPr>
          <w:rFonts w:ascii="Simplified Arabic" w:eastAsia="Times New Roman" w:hAnsi="Simplified Arabic" w:cs="Simplified Arabic"/>
          <w:b/>
          <w:bCs/>
          <w:sz w:val="28"/>
          <w:szCs w:val="28"/>
          <w:rtl/>
        </w:rPr>
        <w:t>تنفيذ</w:t>
      </w:r>
    </w:p>
    <w:p w:rsidR="00DC1C8A" w:rsidRPr="00DC1C8A" w:rsidRDefault="00DC1C8A" w:rsidP="00DC1C8A">
      <w:pPr>
        <w:spacing w:after="0" w:line="240" w:lineRule="auto"/>
        <w:jc w:val="lowKashida"/>
        <w:rPr>
          <w:rFonts w:ascii="Times New Roman" w:eastAsia="Times New Roman" w:hAnsi="Times New Roman" w:cs="Simplified Arabic"/>
          <w:sz w:val="28"/>
          <w:szCs w:val="28"/>
        </w:rPr>
      </w:pPr>
      <w:r w:rsidRPr="00DC1C8A">
        <w:rPr>
          <w:rFonts w:ascii="Times New Roman" w:eastAsia="Times New Roman" w:hAnsi="Times New Roman" w:cs="Simplified Arabic"/>
          <w:sz w:val="28"/>
          <w:szCs w:val="28"/>
        </w:rPr>
        <w:t>-</w:t>
      </w:r>
      <w:r w:rsidRPr="00DC1C8A">
        <w:rPr>
          <w:rFonts w:ascii="Simplified Arabic" w:eastAsia="Times New Roman" w:hAnsi="Simplified Arabic" w:cs="Simplified Arabic"/>
          <w:sz w:val="28"/>
          <w:szCs w:val="28"/>
          <w:rtl/>
        </w:rPr>
        <w:t xml:space="preserve"> المنازعة المتعلقة بالتنفيذ الداخلة فى اختصاص قاضى </w:t>
      </w:r>
      <w:proofErr w:type="gramStart"/>
      <w:r w:rsidRPr="00DC1C8A">
        <w:rPr>
          <w:rFonts w:ascii="Simplified Arabic" w:eastAsia="Times New Roman" w:hAnsi="Simplified Arabic" w:cs="Simplified Arabic"/>
          <w:sz w:val="28"/>
          <w:szCs w:val="28"/>
          <w:rtl/>
        </w:rPr>
        <w:t>التنفيذ .</w:t>
      </w:r>
      <w:proofErr w:type="gramEnd"/>
      <w:r w:rsidRPr="00DC1C8A">
        <w:rPr>
          <w:rFonts w:ascii="Simplified Arabic" w:eastAsia="Times New Roman" w:hAnsi="Simplified Arabic" w:cs="Simplified Arabic"/>
          <w:sz w:val="28"/>
          <w:szCs w:val="28"/>
          <w:rtl/>
        </w:rPr>
        <w:t xml:space="preserve"> المقصود بها</w:t>
      </w:r>
    </w:p>
    <w:p w:rsidR="00DC1C8A" w:rsidRPr="00DC1C8A" w:rsidRDefault="00DC1C8A" w:rsidP="00DC1C8A">
      <w:pPr>
        <w:spacing w:after="0" w:line="240" w:lineRule="auto"/>
        <w:jc w:val="lowKashida"/>
        <w:rPr>
          <w:rFonts w:ascii="Times New Roman" w:eastAsia="Times New Roman" w:hAnsi="Times New Roman" w:cs="Simplified Arabic"/>
          <w:b/>
          <w:bCs/>
          <w:sz w:val="28"/>
          <w:szCs w:val="24"/>
        </w:rPr>
      </w:pPr>
    </w:p>
    <w:p w:rsidR="00DC1C8A" w:rsidRPr="00DC1C8A" w:rsidRDefault="00DC1C8A" w:rsidP="00DC1C8A">
      <w:pPr>
        <w:spacing w:after="0" w:line="240" w:lineRule="auto"/>
        <w:jc w:val="lowKashida"/>
        <w:rPr>
          <w:rFonts w:ascii="Times New Roman" w:eastAsia="Times New Roman" w:hAnsi="Times New Roman" w:cs="Simplified Arabic"/>
          <w:b/>
          <w:bCs/>
          <w:sz w:val="28"/>
          <w:szCs w:val="24"/>
        </w:rPr>
      </w:pPr>
      <w:r w:rsidRPr="00DC1C8A">
        <w:rPr>
          <w:rFonts w:ascii="Simplified Arabic" w:eastAsia="Times New Roman" w:hAnsi="Simplified Arabic" w:cs="Simplified Arabic"/>
          <w:b/>
          <w:bCs/>
          <w:sz w:val="32"/>
          <w:szCs w:val="32"/>
          <w:rtl/>
        </w:rPr>
        <w:t xml:space="preserve">(2) </w:t>
      </w:r>
      <w:r w:rsidRPr="00DC1C8A">
        <w:rPr>
          <w:rFonts w:ascii="Simplified Arabic" w:eastAsia="Times New Roman" w:hAnsi="Simplified Arabic" w:cs="Simplified Arabic"/>
          <w:b/>
          <w:bCs/>
          <w:sz w:val="28"/>
          <w:szCs w:val="24"/>
          <w:rtl/>
        </w:rPr>
        <w:t xml:space="preserve">    </w:t>
      </w:r>
      <w:r w:rsidRPr="00DC1C8A">
        <w:rPr>
          <w:rFonts w:ascii="Simplified Arabic" w:eastAsia="Times New Roman" w:hAnsi="Simplified Arabic" w:cs="Simplified Arabic"/>
          <w:b/>
          <w:bCs/>
          <w:sz w:val="28"/>
          <w:szCs w:val="28"/>
          <w:rtl/>
        </w:rPr>
        <w:t>بطلان</w:t>
      </w:r>
    </w:p>
    <w:p w:rsidR="00DC1C8A" w:rsidRPr="00DC1C8A" w:rsidRDefault="00DC1C8A" w:rsidP="00DC1C8A">
      <w:pPr>
        <w:spacing w:after="0" w:line="240" w:lineRule="auto"/>
        <w:jc w:val="lowKashida"/>
        <w:rPr>
          <w:rFonts w:ascii="Times New Roman" w:eastAsia="Times New Roman" w:hAnsi="Times New Roman" w:cs="Simplified Arabic"/>
          <w:sz w:val="28"/>
          <w:szCs w:val="28"/>
        </w:rPr>
      </w:pPr>
      <w:r w:rsidRPr="00DC1C8A">
        <w:rPr>
          <w:rFonts w:ascii="Times New Roman" w:eastAsia="Times New Roman" w:hAnsi="Times New Roman" w:cs="Simplified Arabic"/>
          <w:sz w:val="28"/>
          <w:szCs w:val="28"/>
        </w:rPr>
        <w:t>-</w:t>
      </w:r>
      <w:r w:rsidRPr="00DC1C8A">
        <w:rPr>
          <w:rFonts w:ascii="Simplified Arabic" w:eastAsia="Times New Roman" w:hAnsi="Simplified Arabic" w:cs="Simplified Arabic"/>
          <w:sz w:val="28"/>
          <w:szCs w:val="28"/>
          <w:rtl/>
        </w:rPr>
        <w:t xml:space="preserve"> طلب المدعى الحكم ببراءة ذمته من دين الضريبة المحجوز من أجله إداريا</w:t>
      </w:r>
      <w:proofErr w:type="gramStart"/>
      <w:r w:rsidRPr="00DC1C8A">
        <w:rPr>
          <w:rFonts w:ascii="Simplified Arabic" w:eastAsia="Times New Roman" w:hAnsi="Simplified Arabic" w:cs="Simplified Arabic"/>
          <w:sz w:val="28"/>
          <w:szCs w:val="28"/>
          <w:rtl/>
        </w:rPr>
        <w:t>ً .</w:t>
      </w:r>
      <w:proofErr w:type="gramEnd"/>
      <w:r w:rsidRPr="00DC1C8A">
        <w:rPr>
          <w:rFonts w:ascii="Simplified Arabic" w:eastAsia="Times New Roman" w:hAnsi="Simplified Arabic" w:cs="Simplified Arabic"/>
          <w:sz w:val="28"/>
          <w:szCs w:val="28"/>
          <w:rtl/>
        </w:rPr>
        <w:t xml:space="preserve"> لا تعد منازعة موضوعية فى التنفيذ طالما لم يطلب بطلان الحجز الإدارى .</w:t>
      </w:r>
    </w:p>
    <w:p w:rsidR="00DC1C8A" w:rsidRPr="00DC1C8A" w:rsidRDefault="00DC1C8A" w:rsidP="00DC1C8A">
      <w:pPr>
        <w:spacing w:after="0" w:line="240" w:lineRule="auto"/>
        <w:jc w:val="lowKashida"/>
        <w:rPr>
          <w:rFonts w:ascii="Times New Roman" w:eastAsia="Times New Roman" w:hAnsi="Times New Roman" w:cs="Simplified Arabic"/>
          <w:b/>
          <w:bCs/>
          <w:sz w:val="28"/>
          <w:szCs w:val="24"/>
        </w:rPr>
      </w:pPr>
    </w:p>
    <w:p w:rsidR="00DC1C8A" w:rsidRPr="00DC1C8A" w:rsidRDefault="00DC1C8A" w:rsidP="00DC1C8A">
      <w:pPr>
        <w:spacing w:after="0" w:line="240" w:lineRule="auto"/>
        <w:jc w:val="lowKashida"/>
        <w:rPr>
          <w:rFonts w:ascii="Simplified Arabic" w:eastAsia="Times New Roman" w:hAnsi="Simplified Arabic" w:cs="Simplified Arabic"/>
          <w:b/>
          <w:bCs/>
          <w:sz w:val="28"/>
          <w:szCs w:val="24"/>
        </w:rPr>
      </w:pPr>
    </w:p>
    <w:p w:rsidR="00DC1C8A" w:rsidRPr="00DC1C8A" w:rsidRDefault="00DC1C8A" w:rsidP="00DC1C8A">
      <w:pPr>
        <w:spacing w:after="0" w:line="240" w:lineRule="auto"/>
        <w:jc w:val="lowKashida"/>
        <w:rPr>
          <w:rFonts w:ascii="Times New Roman" w:eastAsia="Times New Roman" w:hAnsi="Times New Roman" w:cs="Simplified Arabic"/>
          <w:b/>
          <w:bCs/>
          <w:sz w:val="28"/>
          <w:szCs w:val="24"/>
          <w:rtl/>
        </w:rPr>
      </w:pPr>
      <w:r w:rsidRPr="00DC1C8A">
        <w:rPr>
          <w:rFonts w:ascii="Simplified Arabic" w:eastAsia="Times New Roman" w:hAnsi="Simplified Arabic" w:cs="Simplified Arabic"/>
          <w:b/>
          <w:bCs/>
          <w:sz w:val="32"/>
          <w:szCs w:val="32"/>
          <w:rtl/>
        </w:rPr>
        <w:t xml:space="preserve">(3) </w:t>
      </w:r>
      <w:r w:rsidRPr="00DC1C8A">
        <w:rPr>
          <w:rFonts w:ascii="Simplified Arabic" w:eastAsia="Times New Roman" w:hAnsi="Simplified Arabic" w:cs="Simplified Arabic"/>
          <w:b/>
          <w:bCs/>
          <w:sz w:val="28"/>
          <w:szCs w:val="24"/>
          <w:rtl/>
        </w:rPr>
        <w:t xml:space="preserve">    </w:t>
      </w:r>
      <w:r w:rsidRPr="00DC1C8A">
        <w:rPr>
          <w:rFonts w:ascii="Simplified Arabic" w:eastAsia="Times New Roman" w:hAnsi="Simplified Arabic" w:cs="Simplified Arabic"/>
          <w:b/>
          <w:bCs/>
          <w:sz w:val="28"/>
          <w:szCs w:val="28"/>
          <w:rtl/>
        </w:rPr>
        <w:t>ضرائب</w:t>
      </w:r>
    </w:p>
    <w:p w:rsidR="00DC1C8A" w:rsidRPr="00DC1C8A" w:rsidRDefault="00DC1C8A" w:rsidP="00DC1C8A">
      <w:pPr>
        <w:spacing w:after="0" w:line="240" w:lineRule="auto"/>
        <w:jc w:val="lowKashida"/>
        <w:rPr>
          <w:rFonts w:ascii="Simplified Arabic" w:eastAsia="Times New Roman" w:hAnsi="Simplified Arabic" w:cs="Simplified Arabic"/>
          <w:sz w:val="28"/>
          <w:szCs w:val="28"/>
        </w:rPr>
      </w:pPr>
      <w:r w:rsidRPr="00DC1C8A">
        <w:rPr>
          <w:rFonts w:ascii="Times New Roman" w:eastAsia="Times New Roman" w:hAnsi="Times New Roman" w:cs="Simplified Arabic"/>
          <w:sz w:val="28"/>
          <w:szCs w:val="28"/>
        </w:rPr>
        <w:t>-</w:t>
      </w:r>
      <w:r w:rsidRPr="00DC1C8A">
        <w:rPr>
          <w:rFonts w:ascii="Simplified Arabic" w:eastAsia="Times New Roman" w:hAnsi="Simplified Arabic" w:cs="Simplified Arabic"/>
          <w:sz w:val="28"/>
          <w:szCs w:val="28"/>
          <w:rtl/>
        </w:rPr>
        <w:t xml:space="preserve"> الضرائب المستحقة على الأطيان الزراعية من الديون </w:t>
      </w:r>
      <w:proofErr w:type="gramStart"/>
      <w:r w:rsidRPr="00DC1C8A">
        <w:rPr>
          <w:rFonts w:ascii="Simplified Arabic" w:eastAsia="Times New Roman" w:hAnsi="Simplified Arabic" w:cs="Simplified Arabic"/>
          <w:sz w:val="28"/>
          <w:szCs w:val="28"/>
          <w:rtl/>
        </w:rPr>
        <w:t>الممتازة .</w:t>
      </w:r>
      <w:proofErr w:type="gramEnd"/>
      <w:r w:rsidRPr="00DC1C8A">
        <w:rPr>
          <w:rFonts w:ascii="Simplified Arabic" w:eastAsia="Times New Roman" w:hAnsi="Simplified Arabic" w:cs="Simplified Arabic"/>
          <w:sz w:val="28"/>
          <w:szCs w:val="28"/>
          <w:rtl/>
        </w:rPr>
        <w:t xml:space="preserve"> ضريبتى الأمن القومى والدفاع تأخذان حكم ضريبة الأطيان .</w:t>
      </w:r>
    </w:p>
    <w:p w:rsidR="00DC1C8A" w:rsidRPr="00DC1C8A" w:rsidRDefault="00DC1C8A" w:rsidP="00DC1C8A">
      <w:pPr>
        <w:spacing w:after="0" w:line="240" w:lineRule="auto"/>
        <w:jc w:val="lowKashida"/>
        <w:rPr>
          <w:rFonts w:ascii="Simplified Arabic" w:eastAsia="Times New Roman" w:hAnsi="Simplified Arabic" w:cs="Simplified Arabic"/>
          <w:b/>
          <w:bCs/>
          <w:sz w:val="28"/>
          <w:szCs w:val="24"/>
          <w:rtl/>
        </w:rPr>
      </w:pPr>
    </w:p>
    <w:p w:rsidR="00DC1C8A" w:rsidRPr="00DC1C8A" w:rsidRDefault="00DC1C8A" w:rsidP="00DC1C8A">
      <w:pPr>
        <w:spacing w:after="0" w:line="240" w:lineRule="auto"/>
        <w:jc w:val="lowKashida"/>
        <w:rPr>
          <w:rFonts w:ascii="Times New Roman" w:eastAsia="Times New Roman" w:hAnsi="Times New Roman" w:cs="Simplified Arabic"/>
          <w:b/>
          <w:bCs/>
          <w:sz w:val="28"/>
          <w:szCs w:val="24"/>
          <w:rtl/>
        </w:rPr>
      </w:pPr>
    </w:p>
    <w:p w:rsidR="00DC1C8A" w:rsidRPr="00DC1C8A" w:rsidRDefault="00DC1C8A" w:rsidP="00DC1C8A">
      <w:pPr>
        <w:spacing w:after="0" w:line="240" w:lineRule="auto"/>
        <w:jc w:val="center"/>
        <w:rPr>
          <w:rFonts w:ascii="Times New Roman" w:eastAsia="Times New Roman" w:hAnsi="Times New Roman" w:cs="PT Bold Heading"/>
          <w:b/>
          <w:bCs/>
          <w:color w:val="008000"/>
          <w:sz w:val="32"/>
          <w:szCs w:val="32"/>
          <w:lang w:eastAsia="ar-SA"/>
        </w:rPr>
      </w:pPr>
      <w:r w:rsidRPr="00DC1C8A">
        <w:rPr>
          <w:rFonts w:ascii="Times New Roman" w:eastAsia="Times New Roman" w:hAnsi="Times New Roman" w:cs="PT Bold Heading" w:hint="cs"/>
          <w:b/>
          <w:bCs/>
          <w:color w:val="008000"/>
          <w:sz w:val="32"/>
          <w:szCs w:val="32"/>
          <w:rtl/>
          <w:lang w:eastAsia="ar-SA"/>
        </w:rPr>
        <w:t>القاعدة</w:t>
      </w:r>
    </w:p>
    <w:p w:rsidR="00DC1C8A" w:rsidRPr="00DC1C8A" w:rsidRDefault="00DC1C8A" w:rsidP="00DC1C8A">
      <w:pPr>
        <w:spacing w:after="0" w:line="240" w:lineRule="auto"/>
        <w:jc w:val="lowKashida"/>
        <w:rPr>
          <w:rFonts w:ascii="Times New Roman" w:eastAsia="Times New Roman" w:hAnsi="Times New Roman" w:cs="Simplified Arabic"/>
          <w:sz w:val="28"/>
          <w:szCs w:val="28"/>
        </w:rPr>
      </w:pPr>
      <w:r w:rsidRPr="00DC1C8A">
        <w:rPr>
          <w:rFonts w:ascii="Simplified Arabic" w:eastAsia="Times New Roman" w:hAnsi="Simplified Arabic" w:cs="Simplified Arabic"/>
          <w:sz w:val="28"/>
          <w:szCs w:val="28"/>
          <w:rtl/>
        </w:rPr>
        <w:t>1- يشترط لكى تكون المنازعه متعلقه بالتنفيذ فى معنى المادة 275  من قانون المرافعات " أولا " أن يكون التنفيذ جبرياً " ثانياً " أن تكون المنازعة منصبة على إجراء من التنفيذ أو مؤثره فى سير التنفيذ و إجراءاته ، أما المنازعات التى لا تمس إجراء من إجراءات التنفيذ أو سير التنفيذ و حرياته ، فلا تعتبر منازعة فى التنفيذ و بالتالى لا تدخل فى إختصاص قاضى التنفيذ .</w:t>
      </w:r>
    </w:p>
    <w:p w:rsidR="00DC1C8A" w:rsidRPr="00DC1C8A" w:rsidRDefault="00DC1C8A" w:rsidP="00DC1C8A">
      <w:pPr>
        <w:spacing w:after="0" w:line="240" w:lineRule="auto"/>
        <w:jc w:val="lowKashida"/>
        <w:rPr>
          <w:rFonts w:ascii="Times New Roman" w:eastAsia="Times New Roman" w:hAnsi="Times New Roman" w:cs="Simplified Arabic"/>
          <w:sz w:val="28"/>
          <w:szCs w:val="28"/>
        </w:rPr>
      </w:pPr>
    </w:p>
    <w:p w:rsidR="00DC1C8A" w:rsidRPr="00DC1C8A" w:rsidRDefault="00DC1C8A" w:rsidP="00DC1C8A">
      <w:pPr>
        <w:spacing w:after="0" w:line="240" w:lineRule="auto"/>
        <w:jc w:val="lowKashida"/>
        <w:rPr>
          <w:rFonts w:ascii="Times New Roman" w:eastAsia="Times New Roman" w:hAnsi="Times New Roman" w:cs="Simplified Arabic"/>
          <w:sz w:val="28"/>
          <w:szCs w:val="28"/>
        </w:rPr>
      </w:pPr>
      <w:r w:rsidRPr="00DC1C8A">
        <w:rPr>
          <w:rFonts w:ascii="Simplified Arabic" w:eastAsia="Times New Roman" w:hAnsi="Simplified Arabic" w:cs="Simplified Arabic"/>
          <w:sz w:val="28"/>
          <w:szCs w:val="28"/>
          <w:rtl/>
        </w:rPr>
        <w:t>2- إذا كانت طلبات المطعون ضده أمام محكمة الموضوع هى براءة ذمته من دين الضريبة المحجوز من أجله إدارياً و دون أن يطلب فى دعواه الحكم ببطلان هذا الحجز الإدارى أو دفعه ، و من ثم فإن المنازعة لا تكون دعوى تنفيذ موضوعية و بالتالى لا تدخل فى إختصاص قاضى التنفيذ ذلك أن النزاع فيها يدور حول الإلتزام بدين الضريبة المحجوز من أجله إدارياً فقط دون مساس بهذا الحجز لم يطرح النزاع بشأنه على المحكمة .</w:t>
      </w:r>
    </w:p>
    <w:p w:rsidR="00DC1C8A" w:rsidRPr="00DC1C8A" w:rsidRDefault="00DC1C8A" w:rsidP="00DC1C8A">
      <w:pPr>
        <w:spacing w:after="0" w:line="240" w:lineRule="auto"/>
        <w:jc w:val="lowKashida"/>
        <w:rPr>
          <w:rFonts w:ascii="Times New Roman" w:eastAsia="Times New Roman" w:hAnsi="Times New Roman" w:cs="Simplified Arabic"/>
          <w:sz w:val="28"/>
          <w:szCs w:val="28"/>
        </w:rPr>
      </w:pPr>
    </w:p>
    <w:p w:rsidR="00DC1C8A" w:rsidRPr="00DC1C8A" w:rsidRDefault="00DC1C8A" w:rsidP="00DC1C8A">
      <w:pPr>
        <w:spacing w:after="0" w:line="240" w:lineRule="auto"/>
        <w:jc w:val="lowKashida"/>
        <w:rPr>
          <w:rFonts w:ascii="Times New Roman" w:eastAsia="Times New Roman" w:hAnsi="Times New Roman" w:cs="Simplified Arabic"/>
          <w:sz w:val="28"/>
          <w:szCs w:val="28"/>
        </w:rPr>
      </w:pPr>
      <w:r w:rsidRPr="00DC1C8A">
        <w:rPr>
          <w:rFonts w:ascii="Simplified Arabic" w:eastAsia="Times New Roman" w:hAnsi="Simplified Arabic" w:cs="Simplified Arabic"/>
          <w:sz w:val="28"/>
          <w:szCs w:val="28"/>
          <w:rtl/>
        </w:rPr>
        <w:t xml:space="preserve">3- النص فى المادة 16 من القانون رقم 113 لسنه 1939 وفى الماده 1139 من القانون المدنى يدل على أنه تعتبر من الديون الممتازة أموال الأطيان الزراعية ، و أن هذا الإمتياز يخول الحكومة حق تتبع العقار و ثماره فى أية يد كانت و توقيع الحجز عليها ، و إذ كان ذلك ، و </w:t>
      </w:r>
      <w:r w:rsidRPr="00DC1C8A">
        <w:rPr>
          <w:rFonts w:ascii="Simplified Arabic" w:eastAsia="Times New Roman" w:hAnsi="Simplified Arabic" w:cs="Simplified Arabic"/>
          <w:sz w:val="28"/>
          <w:szCs w:val="28"/>
          <w:rtl/>
        </w:rPr>
        <w:lastRenderedPageBreak/>
        <w:t>كان من المقرر أن ضريبتى الأمن القومى و الضريبه الإضافيه للدفاع تأخذان حكم ضريبة الأطيان و كان الحكم المطعون فيه قد قضى ببراءة ذمة المطعون ضده من تلك الضرائب الثلاث إستناداً إلى أنه لم يغتنم فائدة من تلك الأطيان خلال الإستيلاء عليها تنفيذاً لقانون الإصلاح الزراعى فإنه يكون قد خالف القانون و أخطأ فى تطبيقه .</w:t>
      </w:r>
    </w:p>
    <w:p w:rsidR="00DC1C8A" w:rsidRPr="00DC1C8A" w:rsidRDefault="00DC1C8A" w:rsidP="00DC1C8A">
      <w:pPr>
        <w:spacing w:after="0" w:line="240" w:lineRule="auto"/>
        <w:jc w:val="lowKashida"/>
        <w:rPr>
          <w:rFonts w:ascii="Times New Roman" w:eastAsia="Times New Roman" w:hAnsi="Times New Roman" w:cs="Simplified Arabic"/>
          <w:sz w:val="28"/>
          <w:szCs w:val="28"/>
        </w:rPr>
      </w:pPr>
    </w:p>
    <w:p w:rsidR="00DC1C8A" w:rsidRPr="00DC1C8A" w:rsidRDefault="00DC1C8A" w:rsidP="00DC1C8A">
      <w:pPr>
        <w:spacing w:after="0" w:line="240" w:lineRule="auto"/>
        <w:jc w:val="center"/>
        <w:rPr>
          <w:rFonts w:ascii="Times New Roman" w:eastAsia="Times New Roman" w:hAnsi="Times New Roman" w:cs="Simplified Arabic"/>
          <w:sz w:val="24"/>
          <w:szCs w:val="24"/>
        </w:rPr>
      </w:pPr>
      <w:r w:rsidRPr="00DC1C8A">
        <w:rPr>
          <w:rFonts w:ascii="Simplified Arabic" w:eastAsia="Times New Roman" w:hAnsi="Simplified Arabic" w:cs="Simplified Arabic"/>
          <w:sz w:val="24"/>
          <w:szCs w:val="24"/>
          <w:rtl/>
        </w:rPr>
        <w:t>" سنة المكتب الفنى "  30 " رقم الصفحة - 91  -  قاعدة رقم –   -  "</w:t>
      </w:r>
    </w:p>
    <w:p w:rsidR="00DC1C8A" w:rsidRPr="00DC1C8A" w:rsidRDefault="00DC1C8A" w:rsidP="00DC1C8A">
      <w:pPr>
        <w:spacing w:after="0" w:line="240" w:lineRule="auto"/>
        <w:rPr>
          <w:rFonts w:ascii="Times New Roman" w:eastAsia="Times New Roman" w:hAnsi="Times New Roman" w:cs="Times New Roman"/>
          <w:sz w:val="24"/>
          <w:szCs w:val="24"/>
        </w:rPr>
      </w:pPr>
    </w:p>
    <w:p w:rsidR="003E5EDE" w:rsidRPr="00DC1C8A" w:rsidRDefault="003E5EDE">
      <w:bookmarkStart w:id="0" w:name="_GoBack"/>
      <w:bookmarkEnd w:id="0"/>
    </w:p>
    <w:sectPr w:rsidR="003E5EDE" w:rsidRPr="00DC1C8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6"/>
    <w:rsid w:val="0003272B"/>
    <w:rsid w:val="003E5EDE"/>
    <w:rsid w:val="00A20346"/>
    <w:rsid w:val="00DC1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2020-06-03T14:31:00Z</dcterms:created>
  <dcterms:modified xsi:type="dcterms:W3CDTF">2020-06-03T14:31:00Z</dcterms:modified>
</cp:coreProperties>
</file>