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572" w:rsidRPr="008D2572" w:rsidRDefault="008D2572" w:rsidP="008D2572">
      <w:pPr>
        <w:spacing w:after="0" w:line="240" w:lineRule="auto"/>
        <w:jc w:val="center"/>
        <w:rPr>
          <w:rFonts w:ascii="Times New Roman" w:eastAsia="Times New Roman" w:hAnsi="Times New Roman" w:cs="PT Bold Heading"/>
          <w:b/>
          <w:bCs/>
          <w:color w:val="008000"/>
          <w:sz w:val="32"/>
          <w:szCs w:val="32"/>
          <w:lang w:eastAsia="ar-SA"/>
        </w:rPr>
      </w:pPr>
      <w:r w:rsidRPr="008D2572">
        <w:rPr>
          <w:rFonts w:ascii="Times New Roman" w:eastAsia="Times New Roman" w:hAnsi="Times New Roman" w:cs="PT Bold Heading" w:hint="cs"/>
          <w:b/>
          <w:bCs/>
          <w:color w:val="008000"/>
          <w:sz w:val="32"/>
          <w:szCs w:val="32"/>
          <w:rtl/>
          <w:lang w:eastAsia="ar-SA"/>
        </w:rPr>
        <w:t xml:space="preserve">الطعن رقم 1116 لسنة 47 ق </w:t>
      </w:r>
      <w:r w:rsidRPr="008D2572">
        <w:rPr>
          <w:rFonts w:ascii="Times New Roman" w:eastAsia="Times New Roman" w:hAnsi="Times New Roman" w:cs="Times New Roman" w:hint="cs"/>
          <w:b/>
          <w:bCs/>
          <w:color w:val="008000"/>
          <w:sz w:val="32"/>
          <w:szCs w:val="32"/>
          <w:rtl/>
          <w:lang w:eastAsia="ar-SA"/>
        </w:rPr>
        <w:t>-</w:t>
      </w:r>
      <w:r w:rsidRPr="008D2572">
        <w:rPr>
          <w:rFonts w:ascii="Times New Roman" w:eastAsia="Times New Roman" w:hAnsi="Times New Roman" w:cs="PT Bold Heading" w:hint="cs"/>
          <w:b/>
          <w:bCs/>
          <w:color w:val="008000"/>
          <w:sz w:val="32"/>
          <w:szCs w:val="32"/>
          <w:rtl/>
          <w:lang w:eastAsia="ar-SA"/>
        </w:rPr>
        <w:t xml:space="preserve"> جلسة 24-2-1979</w:t>
      </w:r>
    </w:p>
    <w:p w:rsidR="008D2572" w:rsidRPr="008D2572" w:rsidRDefault="008D2572" w:rsidP="008D2572">
      <w:pPr>
        <w:spacing w:after="0" w:line="240" w:lineRule="auto"/>
        <w:jc w:val="center"/>
        <w:rPr>
          <w:rFonts w:ascii="Times New Roman" w:eastAsia="Times New Roman" w:hAnsi="Times New Roman" w:cs="PT Bold Heading"/>
          <w:b/>
          <w:bCs/>
          <w:color w:val="008000"/>
          <w:sz w:val="32"/>
          <w:szCs w:val="32"/>
          <w:lang w:eastAsia="ar-SA"/>
        </w:rPr>
      </w:pPr>
      <w:r w:rsidRPr="008D2572">
        <w:rPr>
          <w:rFonts w:ascii="Times New Roman" w:eastAsia="Times New Roman" w:hAnsi="Times New Roman" w:cs="PT Bold Heading" w:hint="cs"/>
          <w:b/>
          <w:bCs/>
          <w:color w:val="008000"/>
          <w:sz w:val="32"/>
          <w:szCs w:val="32"/>
          <w:rtl/>
          <w:lang w:eastAsia="ar-SA"/>
        </w:rPr>
        <w:t>الموضوع ،  و  الموجز :</w:t>
      </w:r>
    </w:p>
    <w:p w:rsidR="008D2572" w:rsidRPr="008D2572" w:rsidRDefault="008D2572" w:rsidP="008D2572">
      <w:pPr>
        <w:spacing w:after="0" w:line="240" w:lineRule="auto"/>
        <w:jc w:val="lowKashida"/>
        <w:rPr>
          <w:rFonts w:ascii="Times New Roman" w:eastAsia="Times New Roman" w:hAnsi="Times New Roman" w:cs="Simplified Arabic"/>
          <w:b/>
          <w:bCs/>
          <w:sz w:val="32"/>
          <w:szCs w:val="32"/>
        </w:rPr>
      </w:pPr>
    </w:p>
    <w:p w:rsidR="008D2572" w:rsidRPr="008D2572" w:rsidRDefault="008D2572" w:rsidP="008D2572">
      <w:pPr>
        <w:spacing w:after="0" w:line="240" w:lineRule="auto"/>
        <w:jc w:val="lowKashida"/>
        <w:rPr>
          <w:rFonts w:ascii="Times New Roman" w:eastAsia="Times New Roman" w:hAnsi="Times New Roman" w:cs="Simplified Arabic"/>
          <w:b/>
          <w:bCs/>
          <w:sz w:val="28"/>
          <w:szCs w:val="28"/>
        </w:rPr>
      </w:pPr>
      <w:r w:rsidRPr="008D2572">
        <w:rPr>
          <w:rFonts w:ascii="Simplified Arabic" w:eastAsia="Times New Roman" w:hAnsi="Simplified Arabic" w:cs="Simplified Arabic"/>
          <w:b/>
          <w:bCs/>
          <w:sz w:val="32"/>
          <w:szCs w:val="32"/>
          <w:rtl/>
        </w:rPr>
        <w:t xml:space="preserve">(1) </w:t>
      </w:r>
      <w:r w:rsidRPr="008D2572">
        <w:rPr>
          <w:rFonts w:ascii="Simplified Arabic" w:eastAsia="Times New Roman" w:hAnsi="Simplified Arabic" w:cs="Simplified Arabic"/>
          <w:b/>
          <w:bCs/>
          <w:sz w:val="28"/>
          <w:szCs w:val="24"/>
          <w:rtl/>
        </w:rPr>
        <w:t xml:space="preserve">   </w:t>
      </w:r>
      <w:r w:rsidRPr="008D2572">
        <w:rPr>
          <w:rFonts w:ascii="Simplified Arabic" w:eastAsia="Times New Roman" w:hAnsi="Simplified Arabic" w:cs="Simplified Arabic"/>
          <w:b/>
          <w:bCs/>
          <w:sz w:val="28"/>
          <w:szCs w:val="28"/>
          <w:rtl/>
        </w:rPr>
        <w:t xml:space="preserve"> إثبات </w:t>
      </w:r>
    </w:p>
    <w:p w:rsidR="008D2572" w:rsidRPr="008D2572" w:rsidRDefault="008D2572" w:rsidP="008D2572">
      <w:pPr>
        <w:spacing w:after="0" w:line="240" w:lineRule="auto"/>
        <w:jc w:val="lowKashida"/>
        <w:rPr>
          <w:rFonts w:ascii="Times New Roman" w:eastAsia="Times New Roman" w:hAnsi="Times New Roman" w:cs="Simplified Arabic"/>
          <w:sz w:val="28"/>
          <w:szCs w:val="28"/>
        </w:rPr>
      </w:pPr>
      <w:r w:rsidRPr="008D2572">
        <w:rPr>
          <w:rFonts w:ascii="Times New Roman" w:eastAsia="Times New Roman" w:hAnsi="Times New Roman" w:cs="Simplified Arabic"/>
          <w:sz w:val="28"/>
          <w:szCs w:val="28"/>
        </w:rPr>
        <w:t>-</w:t>
      </w:r>
      <w:r w:rsidRPr="008D2572">
        <w:rPr>
          <w:rFonts w:ascii="Simplified Arabic" w:eastAsia="Times New Roman" w:hAnsi="Simplified Arabic" w:cs="Simplified Arabic"/>
          <w:sz w:val="28"/>
          <w:szCs w:val="28"/>
          <w:rtl/>
        </w:rPr>
        <w:t xml:space="preserve"> جواز استمرار العامل في عمله بعد سن الستين استكمالا لمدد الاشتراك الفعلية لاستحقاق </w:t>
      </w:r>
      <w:proofErr w:type="gramStart"/>
      <w:r w:rsidRPr="008D2572">
        <w:rPr>
          <w:rFonts w:ascii="Simplified Arabic" w:eastAsia="Times New Roman" w:hAnsi="Simplified Arabic" w:cs="Simplified Arabic"/>
          <w:sz w:val="28"/>
          <w:szCs w:val="28"/>
          <w:rtl/>
        </w:rPr>
        <w:t>المعاش .</w:t>
      </w:r>
      <w:proofErr w:type="gramEnd"/>
      <w:r w:rsidRPr="008D2572">
        <w:rPr>
          <w:rFonts w:ascii="Simplified Arabic" w:eastAsia="Times New Roman" w:hAnsi="Simplified Arabic" w:cs="Simplified Arabic"/>
          <w:sz w:val="28"/>
          <w:szCs w:val="28"/>
          <w:rtl/>
        </w:rPr>
        <w:t xml:space="preserve"> شرطه . أن يكون قادرا علي العمل واثبات المقدرة الصحية . عدم تحديد القانون طريقا معينا للاثبات . الالتجاء الي التحكيم الطبي غير لازم .</w:t>
      </w:r>
    </w:p>
    <w:p w:rsidR="008D2572" w:rsidRPr="008D2572" w:rsidRDefault="008D2572" w:rsidP="008D2572">
      <w:pPr>
        <w:spacing w:after="0" w:line="240" w:lineRule="auto"/>
        <w:jc w:val="lowKashida"/>
        <w:rPr>
          <w:rFonts w:ascii="Times New Roman" w:eastAsia="Times New Roman" w:hAnsi="Times New Roman" w:cs="Simplified Arabic"/>
          <w:b/>
          <w:bCs/>
          <w:sz w:val="28"/>
          <w:szCs w:val="24"/>
        </w:rPr>
      </w:pPr>
    </w:p>
    <w:p w:rsidR="008D2572" w:rsidRPr="008D2572" w:rsidRDefault="008D2572" w:rsidP="008D2572">
      <w:pPr>
        <w:spacing w:after="0" w:line="240" w:lineRule="auto"/>
        <w:jc w:val="lowKashida"/>
        <w:rPr>
          <w:rFonts w:ascii="Times New Roman" w:eastAsia="Times New Roman" w:hAnsi="Times New Roman" w:cs="Simplified Arabic"/>
          <w:b/>
          <w:bCs/>
          <w:sz w:val="28"/>
          <w:szCs w:val="24"/>
        </w:rPr>
      </w:pPr>
    </w:p>
    <w:p w:rsidR="008D2572" w:rsidRPr="008D2572" w:rsidRDefault="008D2572" w:rsidP="008D2572">
      <w:pPr>
        <w:spacing w:after="0" w:line="240" w:lineRule="auto"/>
        <w:jc w:val="lowKashida"/>
        <w:rPr>
          <w:rFonts w:ascii="Simplified Arabic" w:eastAsia="Times New Roman" w:hAnsi="Simplified Arabic" w:cs="Simplified Arabic"/>
          <w:b/>
          <w:bCs/>
          <w:sz w:val="28"/>
          <w:szCs w:val="24"/>
        </w:rPr>
      </w:pPr>
    </w:p>
    <w:p w:rsidR="008D2572" w:rsidRPr="008D2572" w:rsidRDefault="008D2572" w:rsidP="008D2572">
      <w:pPr>
        <w:spacing w:after="0" w:line="240" w:lineRule="auto"/>
        <w:jc w:val="lowKashida"/>
        <w:rPr>
          <w:rFonts w:ascii="Times New Roman" w:eastAsia="Times New Roman" w:hAnsi="Times New Roman" w:cs="Simplified Arabic"/>
          <w:b/>
          <w:bCs/>
          <w:sz w:val="28"/>
          <w:szCs w:val="24"/>
          <w:rtl/>
        </w:rPr>
      </w:pPr>
    </w:p>
    <w:p w:rsidR="008D2572" w:rsidRPr="008D2572" w:rsidRDefault="008D2572" w:rsidP="008D2572">
      <w:pPr>
        <w:spacing w:after="0" w:line="240" w:lineRule="auto"/>
        <w:jc w:val="center"/>
        <w:rPr>
          <w:rFonts w:ascii="Times New Roman" w:eastAsia="Times New Roman" w:hAnsi="Times New Roman" w:cs="PT Bold Heading"/>
          <w:b/>
          <w:bCs/>
          <w:color w:val="008000"/>
          <w:sz w:val="32"/>
          <w:szCs w:val="32"/>
          <w:lang w:eastAsia="ar-SA"/>
        </w:rPr>
      </w:pPr>
      <w:r w:rsidRPr="008D2572">
        <w:rPr>
          <w:rFonts w:ascii="Times New Roman" w:eastAsia="Times New Roman" w:hAnsi="Times New Roman" w:cs="PT Bold Heading" w:hint="cs"/>
          <w:b/>
          <w:bCs/>
          <w:color w:val="008000"/>
          <w:sz w:val="32"/>
          <w:szCs w:val="32"/>
          <w:rtl/>
          <w:lang w:eastAsia="ar-SA"/>
        </w:rPr>
        <w:t>القاعدة</w:t>
      </w:r>
    </w:p>
    <w:p w:rsidR="008D2572" w:rsidRPr="008D2572" w:rsidRDefault="008D2572" w:rsidP="008D2572">
      <w:pPr>
        <w:spacing w:after="0" w:line="240" w:lineRule="auto"/>
        <w:jc w:val="lowKashida"/>
        <w:rPr>
          <w:rFonts w:ascii="Times New Roman" w:eastAsia="Times New Roman" w:hAnsi="Times New Roman" w:cs="Simplified Arabic"/>
          <w:sz w:val="28"/>
          <w:szCs w:val="28"/>
        </w:rPr>
      </w:pPr>
      <w:r w:rsidRPr="008D2572">
        <w:rPr>
          <w:rFonts w:ascii="Simplified Arabic" w:eastAsia="Times New Roman" w:hAnsi="Simplified Arabic" w:cs="Simplified Arabic"/>
          <w:sz w:val="28"/>
          <w:szCs w:val="28"/>
          <w:rtl/>
        </w:rPr>
        <w:t>1- مفاد نص المادة السادسة من مواد إصدار قانون التأمينات الإجتماعية الصادر بالقانون رقم 63 لسنة 1964 - قبل تعديلها بالقانون رقم 4 لسنة 1969 أن الأصل هو إنتهاء خدمة العامل ببلوغه سن الستين و إستثناء من هذا الأصل يحق له متابعة عمله بعد بلوغ هذه السن إذا كان قادراً على القيام بأعباء وظيفته وقت بلوغها لكى يستكمل مدد الإشتراك الفعلية التى ترتب إستحقاقه للمعاش ، و لم يرسم المشرع طريقاً معيناً للتثبت من القدرة الصحية مناط الإستمرار فى العمل إذ جاء نص المادة السادسة من القانون رقم 63 لسنة 1964 المشار إليها خلواً من تحديد أى طريق معين لإثبات تلك القدرة فى هذه الحالة ، و لا يغير من هذا النظر أن المادة 81 من قانون العمل الصادر بالقانون رقم 91 لسنة 1959 و قرار وزير الشئون الإجتماعية و العمل رقم 170 لسنة 1960 قد بينا طريقة إثبات عجز العامل عن تأدية عمله و إجراءاته أمام لجنة التحكيم الطبى المشكلة لهذا الغرض ، لأن ذلك كله لا يعدو أن يكون تقريراً لقواعد تنظيمية للتيسير على العامل فى إقتضاء حقوقه و لا يحرمه من حقه الأصلى فى الإلتجاء إلى القضاء إذا لم يرغب فى التحكيم .</w:t>
      </w:r>
    </w:p>
    <w:p w:rsidR="008D2572" w:rsidRPr="008D2572" w:rsidRDefault="008D2572" w:rsidP="008D2572">
      <w:pPr>
        <w:spacing w:after="0" w:line="240" w:lineRule="auto"/>
        <w:jc w:val="lowKashida"/>
        <w:rPr>
          <w:rFonts w:ascii="Times New Roman" w:eastAsia="Times New Roman" w:hAnsi="Times New Roman" w:cs="Simplified Arabic"/>
          <w:sz w:val="28"/>
          <w:szCs w:val="28"/>
        </w:rPr>
      </w:pPr>
    </w:p>
    <w:p w:rsidR="008D2572" w:rsidRPr="008D2572" w:rsidRDefault="008D2572" w:rsidP="008D2572">
      <w:pPr>
        <w:spacing w:after="0" w:line="240" w:lineRule="auto"/>
        <w:jc w:val="center"/>
        <w:rPr>
          <w:rFonts w:ascii="Times New Roman" w:eastAsia="Times New Roman" w:hAnsi="Times New Roman" w:cs="Simplified Arabic"/>
          <w:sz w:val="24"/>
          <w:szCs w:val="24"/>
        </w:rPr>
      </w:pPr>
      <w:r w:rsidRPr="008D2572">
        <w:rPr>
          <w:rFonts w:ascii="Simplified Arabic" w:eastAsia="Times New Roman" w:hAnsi="Simplified Arabic" w:cs="Simplified Arabic"/>
          <w:sz w:val="24"/>
          <w:szCs w:val="24"/>
          <w:rtl/>
        </w:rPr>
        <w:t>" سنة المكتب الفنى "  30 " رقم الصفحة -   610-  قاعدة رقم –   -  "</w:t>
      </w:r>
    </w:p>
    <w:p w:rsidR="008D2572" w:rsidRPr="008D2572" w:rsidRDefault="008D2572" w:rsidP="008D2572">
      <w:pPr>
        <w:spacing w:after="0" w:line="240" w:lineRule="auto"/>
        <w:jc w:val="lowKashida"/>
        <w:rPr>
          <w:rFonts w:ascii="Simplified Arabic" w:eastAsia="Times New Roman" w:hAnsi="Simplified Arabic" w:cs="Simplified Arabic"/>
          <w:sz w:val="28"/>
          <w:szCs w:val="28"/>
        </w:rPr>
      </w:pPr>
    </w:p>
    <w:p w:rsidR="008D2572" w:rsidRPr="008D2572" w:rsidRDefault="008D2572" w:rsidP="008D2572">
      <w:pPr>
        <w:spacing w:after="0" w:line="240" w:lineRule="auto"/>
        <w:rPr>
          <w:rFonts w:ascii="Times New Roman" w:eastAsia="Times New Roman" w:hAnsi="Times New Roman" w:cs="Times New Roman"/>
          <w:sz w:val="24"/>
          <w:szCs w:val="24"/>
          <w:rtl/>
        </w:rPr>
      </w:pPr>
    </w:p>
    <w:p w:rsidR="003E5EDE" w:rsidRDefault="003E5EDE">
      <w:bookmarkStart w:id="0" w:name="_GoBack"/>
      <w:bookmarkEnd w:id="0"/>
    </w:p>
    <w:sectPr w:rsidR="003E5ED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5B1"/>
    <w:rsid w:val="0003272B"/>
    <w:rsid w:val="001305B1"/>
    <w:rsid w:val="003E5EDE"/>
    <w:rsid w:val="008D25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066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1153</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2020-06-03T13:28:00Z</dcterms:created>
  <dcterms:modified xsi:type="dcterms:W3CDTF">2020-06-03T13:29:00Z</dcterms:modified>
</cp:coreProperties>
</file>