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82C" w:rsidRPr="000C682C" w:rsidRDefault="000C682C" w:rsidP="000C682C">
      <w:pPr>
        <w:spacing w:after="0" w:line="240" w:lineRule="auto"/>
        <w:jc w:val="center"/>
        <w:rPr>
          <w:rFonts w:ascii="Times New Roman" w:eastAsia="Times New Roman" w:hAnsi="Times New Roman" w:cs="PT Bold Heading"/>
          <w:b/>
          <w:bCs/>
          <w:color w:val="008000"/>
          <w:sz w:val="32"/>
          <w:szCs w:val="32"/>
          <w:lang w:eastAsia="ar-SA"/>
        </w:rPr>
      </w:pPr>
      <w:r w:rsidRPr="000C682C">
        <w:rPr>
          <w:rFonts w:ascii="Times New Roman" w:eastAsia="Times New Roman" w:hAnsi="Times New Roman" w:cs="PT Bold Heading" w:hint="cs"/>
          <w:b/>
          <w:bCs/>
          <w:color w:val="008000"/>
          <w:sz w:val="32"/>
          <w:szCs w:val="32"/>
          <w:rtl/>
          <w:lang w:eastAsia="ar-SA"/>
        </w:rPr>
        <w:t xml:space="preserve">الطعن رقم 1424 لسنة 47 ق </w:t>
      </w:r>
      <w:r w:rsidRPr="000C682C">
        <w:rPr>
          <w:rFonts w:ascii="Times New Roman" w:eastAsia="Times New Roman" w:hAnsi="Times New Roman" w:cs="Times New Roman" w:hint="cs"/>
          <w:b/>
          <w:bCs/>
          <w:color w:val="008000"/>
          <w:sz w:val="32"/>
          <w:szCs w:val="32"/>
          <w:rtl/>
          <w:lang w:eastAsia="ar-SA"/>
        </w:rPr>
        <w:t>-</w:t>
      </w:r>
      <w:r w:rsidRPr="000C682C">
        <w:rPr>
          <w:rFonts w:ascii="Times New Roman" w:eastAsia="Times New Roman" w:hAnsi="Times New Roman" w:cs="PT Bold Heading" w:hint="cs"/>
          <w:b/>
          <w:bCs/>
          <w:color w:val="008000"/>
          <w:sz w:val="32"/>
          <w:szCs w:val="32"/>
          <w:rtl/>
          <w:lang w:eastAsia="ar-SA"/>
        </w:rPr>
        <w:t xml:space="preserve"> جلسة 5-2-1979</w:t>
      </w:r>
    </w:p>
    <w:p w:rsidR="000C682C" w:rsidRPr="000C682C" w:rsidRDefault="000C682C" w:rsidP="000C682C">
      <w:pPr>
        <w:spacing w:after="0" w:line="240" w:lineRule="auto"/>
        <w:jc w:val="center"/>
        <w:rPr>
          <w:rFonts w:ascii="Times New Roman" w:eastAsia="Times New Roman" w:hAnsi="Times New Roman" w:cs="PT Bold Heading"/>
          <w:b/>
          <w:bCs/>
          <w:color w:val="008000"/>
          <w:sz w:val="32"/>
          <w:szCs w:val="32"/>
          <w:lang w:eastAsia="ar-SA"/>
        </w:rPr>
      </w:pPr>
      <w:r w:rsidRPr="000C682C">
        <w:rPr>
          <w:rFonts w:ascii="Times New Roman" w:eastAsia="Times New Roman" w:hAnsi="Times New Roman" w:cs="PT Bold Heading" w:hint="cs"/>
          <w:b/>
          <w:bCs/>
          <w:color w:val="008000"/>
          <w:sz w:val="32"/>
          <w:szCs w:val="32"/>
          <w:rtl/>
          <w:lang w:eastAsia="ar-SA"/>
        </w:rPr>
        <w:t>الموضوع ،  و  الموجز :</w:t>
      </w:r>
    </w:p>
    <w:p w:rsidR="000C682C" w:rsidRPr="000C682C" w:rsidRDefault="000C682C" w:rsidP="000C682C">
      <w:pPr>
        <w:spacing w:after="0" w:line="240" w:lineRule="auto"/>
        <w:jc w:val="lowKashida"/>
        <w:rPr>
          <w:rFonts w:ascii="Times New Roman" w:eastAsia="Times New Roman" w:hAnsi="Times New Roman" w:cs="Simplified Arabic"/>
          <w:b/>
          <w:bCs/>
          <w:sz w:val="32"/>
          <w:szCs w:val="32"/>
        </w:rPr>
      </w:pPr>
    </w:p>
    <w:p w:rsidR="000C682C" w:rsidRPr="000C682C" w:rsidRDefault="000C682C" w:rsidP="000C682C">
      <w:pPr>
        <w:spacing w:after="0" w:line="240" w:lineRule="auto"/>
        <w:jc w:val="lowKashida"/>
        <w:rPr>
          <w:rFonts w:ascii="Times New Roman" w:eastAsia="Times New Roman" w:hAnsi="Times New Roman" w:cs="Simplified Arabic"/>
          <w:b/>
          <w:bCs/>
          <w:sz w:val="28"/>
          <w:szCs w:val="28"/>
        </w:rPr>
      </w:pPr>
      <w:r w:rsidRPr="000C682C">
        <w:rPr>
          <w:rFonts w:ascii="Simplified Arabic" w:eastAsia="Times New Roman" w:hAnsi="Simplified Arabic" w:cs="Simplified Arabic"/>
          <w:b/>
          <w:bCs/>
          <w:sz w:val="32"/>
          <w:szCs w:val="32"/>
          <w:rtl/>
        </w:rPr>
        <w:t xml:space="preserve">(1) </w:t>
      </w:r>
      <w:r w:rsidRPr="000C682C">
        <w:rPr>
          <w:rFonts w:ascii="Simplified Arabic" w:eastAsia="Times New Roman" w:hAnsi="Simplified Arabic" w:cs="Simplified Arabic"/>
          <w:b/>
          <w:bCs/>
          <w:sz w:val="28"/>
          <w:szCs w:val="24"/>
          <w:rtl/>
        </w:rPr>
        <w:t xml:space="preserve">   </w:t>
      </w:r>
      <w:r w:rsidRPr="000C682C">
        <w:rPr>
          <w:rFonts w:ascii="Simplified Arabic" w:eastAsia="Times New Roman" w:hAnsi="Simplified Arabic" w:cs="Simplified Arabic"/>
          <w:b/>
          <w:bCs/>
          <w:sz w:val="28"/>
          <w:szCs w:val="28"/>
          <w:rtl/>
        </w:rPr>
        <w:t xml:space="preserve"> بيع </w:t>
      </w:r>
    </w:p>
    <w:p w:rsidR="000C682C" w:rsidRPr="000C682C" w:rsidRDefault="000C682C" w:rsidP="000C682C">
      <w:pPr>
        <w:spacing w:after="0" w:line="240" w:lineRule="auto"/>
        <w:jc w:val="lowKashida"/>
        <w:rPr>
          <w:rFonts w:ascii="Times New Roman" w:eastAsia="Times New Roman" w:hAnsi="Times New Roman" w:cs="Simplified Arabic"/>
          <w:sz w:val="28"/>
          <w:szCs w:val="28"/>
        </w:rPr>
      </w:pPr>
      <w:r w:rsidRPr="000C682C">
        <w:rPr>
          <w:rFonts w:ascii="Times New Roman" w:eastAsia="Times New Roman" w:hAnsi="Times New Roman" w:cs="Simplified Arabic"/>
          <w:sz w:val="28"/>
          <w:szCs w:val="28"/>
        </w:rPr>
        <w:t>-</w:t>
      </w:r>
      <w:r w:rsidRPr="000C682C">
        <w:rPr>
          <w:rFonts w:ascii="Simplified Arabic" w:eastAsia="Times New Roman" w:hAnsi="Simplified Arabic" w:cs="Simplified Arabic"/>
          <w:sz w:val="28"/>
          <w:szCs w:val="28"/>
          <w:rtl/>
        </w:rPr>
        <w:t xml:space="preserve"> حيازة المنقول بسبب صحيح وحسن </w:t>
      </w:r>
      <w:proofErr w:type="gramStart"/>
      <w:r w:rsidRPr="000C682C">
        <w:rPr>
          <w:rFonts w:ascii="Simplified Arabic" w:eastAsia="Times New Roman" w:hAnsi="Simplified Arabic" w:cs="Simplified Arabic"/>
          <w:sz w:val="28"/>
          <w:szCs w:val="28"/>
          <w:rtl/>
        </w:rPr>
        <w:t>نية .</w:t>
      </w:r>
      <w:proofErr w:type="gramEnd"/>
      <w:r w:rsidRPr="000C682C">
        <w:rPr>
          <w:rFonts w:ascii="Simplified Arabic" w:eastAsia="Times New Roman" w:hAnsi="Simplified Arabic" w:cs="Simplified Arabic"/>
          <w:sz w:val="28"/>
          <w:szCs w:val="28"/>
          <w:rtl/>
        </w:rPr>
        <w:t xml:space="preserve"> أثره . إنتقال الملكية . للحائز . بيع المحل التجاري بمقوماته اعتباره بيعا لمنقول .</w:t>
      </w:r>
    </w:p>
    <w:p w:rsidR="000C682C" w:rsidRPr="000C682C" w:rsidRDefault="000C682C" w:rsidP="000C682C">
      <w:pPr>
        <w:spacing w:after="0" w:line="240" w:lineRule="auto"/>
        <w:jc w:val="lowKashida"/>
        <w:rPr>
          <w:rFonts w:ascii="Times New Roman" w:eastAsia="Times New Roman" w:hAnsi="Times New Roman" w:cs="Simplified Arabic"/>
          <w:b/>
          <w:bCs/>
          <w:sz w:val="28"/>
          <w:szCs w:val="24"/>
        </w:rPr>
      </w:pPr>
    </w:p>
    <w:p w:rsidR="000C682C" w:rsidRPr="000C682C" w:rsidRDefault="000C682C" w:rsidP="000C682C">
      <w:pPr>
        <w:spacing w:after="0" w:line="240" w:lineRule="auto"/>
        <w:jc w:val="lowKashida"/>
        <w:rPr>
          <w:rFonts w:ascii="Times New Roman" w:eastAsia="Times New Roman" w:hAnsi="Times New Roman" w:cs="Simplified Arabic"/>
          <w:b/>
          <w:bCs/>
          <w:sz w:val="28"/>
          <w:szCs w:val="24"/>
        </w:rPr>
      </w:pPr>
    </w:p>
    <w:p w:rsidR="000C682C" w:rsidRPr="000C682C" w:rsidRDefault="000C682C" w:rsidP="000C682C">
      <w:pPr>
        <w:spacing w:after="0" w:line="240" w:lineRule="auto"/>
        <w:jc w:val="lowKashida"/>
        <w:rPr>
          <w:rFonts w:ascii="Times New Roman" w:eastAsia="Times New Roman" w:hAnsi="Times New Roman" w:cs="Simplified Arabic"/>
          <w:b/>
          <w:bCs/>
          <w:sz w:val="28"/>
          <w:szCs w:val="24"/>
        </w:rPr>
      </w:pPr>
      <w:r w:rsidRPr="000C682C">
        <w:rPr>
          <w:rFonts w:ascii="Simplified Arabic" w:eastAsia="Times New Roman" w:hAnsi="Simplified Arabic" w:cs="Simplified Arabic"/>
          <w:b/>
          <w:bCs/>
          <w:sz w:val="32"/>
          <w:szCs w:val="32"/>
          <w:rtl/>
        </w:rPr>
        <w:t xml:space="preserve">(2) </w:t>
      </w:r>
      <w:r w:rsidRPr="000C682C">
        <w:rPr>
          <w:rFonts w:ascii="Simplified Arabic" w:eastAsia="Times New Roman" w:hAnsi="Simplified Arabic" w:cs="Simplified Arabic"/>
          <w:b/>
          <w:bCs/>
          <w:sz w:val="28"/>
          <w:szCs w:val="24"/>
          <w:rtl/>
        </w:rPr>
        <w:t xml:space="preserve">    </w:t>
      </w:r>
      <w:r w:rsidRPr="000C682C">
        <w:rPr>
          <w:rFonts w:ascii="Simplified Arabic" w:eastAsia="Times New Roman" w:hAnsi="Simplified Arabic" w:cs="Simplified Arabic"/>
          <w:b/>
          <w:bCs/>
          <w:sz w:val="28"/>
          <w:szCs w:val="28"/>
          <w:rtl/>
        </w:rPr>
        <w:t>بيع</w:t>
      </w:r>
    </w:p>
    <w:p w:rsidR="000C682C" w:rsidRPr="000C682C" w:rsidRDefault="000C682C" w:rsidP="000C682C">
      <w:pPr>
        <w:spacing w:after="0" w:line="240" w:lineRule="auto"/>
        <w:jc w:val="lowKashida"/>
        <w:rPr>
          <w:rFonts w:ascii="Times New Roman" w:eastAsia="Times New Roman" w:hAnsi="Times New Roman" w:cs="Simplified Arabic"/>
          <w:sz w:val="28"/>
          <w:szCs w:val="28"/>
        </w:rPr>
      </w:pPr>
      <w:r w:rsidRPr="000C682C">
        <w:rPr>
          <w:rFonts w:ascii="Times New Roman" w:eastAsia="Times New Roman" w:hAnsi="Times New Roman" w:cs="Simplified Arabic"/>
          <w:sz w:val="28"/>
          <w:szCs w:val="28"/>
        </w:rPr>
        <w:t>-</w:t>
      </w:r>
      <w:r w:rsidRPr="000C682C">
        <w:rPr>
          <w:rFonts w:ascii="Simplified Arabic" w:eastAsia="Times New Roman" w:hAnsi="Simplified Arabic" w:cs="Simplified Arabic"/>
          <w:sz w:val="28"/>
          <w:szCs w:val="28"/>
          <w:rtl/>
        </w:rPr>
        <w:t xml:space="preserve"> تمسك مشتري المحل التجاري بشرائه له من المالك الظاهر بحسن نية وإنتقال حيازته إليه إغفال الحكم بحث هذا الدفاع بمقولة أن المحل يدخل ضمن أموال التفليسة و لا يسري التصرف في حق جماعة </w:t>
      </w:r>
      <w:proofErr w:type="gramStart"/>
      <w:r w:rsidRPr="000C682C">
        <w:rPr>
          <w:rFonts w:ascii="Simplified Arabic" w:eastAsia="Times New Roman" w:hAnsi="Simplified Arabic" w:cs="Simplified Arabic"/>
          <w:sz w:val="28"/>
          <w:szCs w:val="28"/>
          <w:rtl/>
        </w:rPr>
        <w:t>الدائنين .</w:t>
      </w:r>
      <w:proofErr w:type="gramEnd"/>
      <w:r w:rsidRPr="000C682C">
        <w:rPr>
          <w:rFonts w:ascii="Simplified Arabic" w:eastAsia="Times New Roman" w:hAnsi="Simplified Arabic" w:cs="Simplified Arabic"/>
          <w:sz w:val="28"/>
          <w:szCs w:val="28"/>
          <w:rtl/>
        </w:rPr>
        <w:t xml:space="preserve"> قصور .</w:t>
      </w:r>
    </w:p>
    <w:p w:rsidR="000C682C" w:rsidRPr="000C682C" w:rsidRDefault="000C682C" w:rsidP="000C682C">
      <w:pPr>
        <w:spacing w:after="0" w:line="240" w:lineRule="auto"/>
        <w:jc w:val="lowKashida"/>
        <w:rPr>
          <w:rFonts w:ascii="Times New Roman" w:eastAsia="Times New Roman" w:hAnsi="Times New Roman" w:cs="Simplified Arabic"/>
          <w:b/>
          <w:bCs/>
          <w:sz w:val="28"/>
          <w:szCs w:val="24"/>
        </w:rPr>
      </w:pPr>
    </w:p>
    <w:p w:rsidR="000C682C" w:rsidRPr="000C682C" w:rsidRDefault="000C682C" w:rsidP="000C682C">
      <w:pPr>
        <w:spacing w:after="0" w:line="240" w:lineRule="auto"/>
        <w:jc w:val="center"/>
        <w:rPr>
          <w:rFonts w:ascii="Times New Roman" w:eastAsia="Times New Roman" w:hAnsi="Times New Roman" w:cs="PT Bold Heading"/>
          <w:b/>
          <w:bCs/>
          <w:color w:val="008000"/>
          <w:sz w:val="32"/>
          <w:szCs w:val="32"/>
          <w:lang w:eastAsia="ar-SA"/>
        </w:rPr>
      </w:pPr>
      <w:r w:rsidRPr="000C682C">
        <w:rPr>
          <w:rFonts w:ascii="Times New Roman" w:eastAsia="Times New Roman" w:hAnsi="Times New Roman" w:cs="PT Bold Heading" w:hint="cs"/>
          <w:b/>
          <w:bCs/>
          <w:color w:val="008000"/>
          <w:sz w:val="32"/>
          <w:szCs w:val="32"/>
          <w:rtl/>
          <w:lang w:eastAsia="ar-SA"/>
        </w:rPr>
        <w:t>القاعدة</w:t>
      </w:r>
    </w:p>
    <w:p w:rsidR="000C682C" w:rsidRPr="000C682C" w:rsidRDefault="000C682C" w:rsidP="000C682C">
      <w:pPr>
        <w:spacing w:after="0" w:line="240" w:lineRule="auto"/>
        <w:jc w:val="lowKashida"/>
        <w:rPr>
          <w:rFonts w:ascii="Times New Roman" w:eastAsia="Times New Roman" w:hAnsi="Times New Roman" w:cs="Simplified Arabic"/>
          <w:sz w:val="28"/>
          <w:szCs w:val="28"/>
        </w:rPr>
      </w:pPr>
      <w:r w:rsidRPr="000C682C">
        <w:rPr>
          <w:rFonts w:ascii="Simplified Arabic" w:eastAsia="Times New Roman" w:hAnsi="Simplified Arabic" w:cs="Simplified Arabic"/>
          <w:sz w:val="28"/>
          <w:szCs w:val="28"/>
          <w:rtl/>
        </w:rPr>
        <w:t>1- بيع المحل التجارى بمحتوياته و مقوماته بما فى ذلك حق الإيجار يعتبر بيع منقول و تسرى فى شأنه الماده 1-976 من التقنين المدنى التى تنص على أن من حاز منقولاً بسبب صحيح و توافرت لديه حسن النية وقت حيازته يصبح مالكاً له.</w:t>
      </w:r>
    </w:p>
    <w:p w:rsidR="000C682C" w:rsidRPr="000C682C" w:rsidRDefault="000C682C" w:rsidP="000C682C">
      <w:pPr>
        <w:spacing w:after="0" w:line="240" w:lineRule="auto"/>
        <w:jc w:val="lowKashida"/>
        <w:rPr>
          <w:rFonts w:ascii="Times New Roman" w:eastAsia="Times New Roman" w:hAnsi="Times New Roman" w:cs="Simplified Arabic"/>
          <w:sz w:val="28"/>
          <w:szCs w:val="28"/>
        </w:rPr>
      </w:pPr>
    </w:p>
    <w:p w:rsidR="000C682C" w:rsidRPr="000C682C" w:rsidRDefault="000C682C" w:rsidP="000C682C">
      <w:pPr>
        <w:spacing w:after="0" w:line="240" w:lineRule="auto"/>
        <w:jc w:val="lowKashida"/>
        <w:rPr>
          <w:rFonts w:ascii="Times New Roman" w:eastAsia="Times New Roman" w:hAnsi="Times New Roman" w:cs="Simplified Arabic"/>
          <w:sz w:val="28"/>
          <w:szCs w:val="28"/>
        </w:rPr>
      </w:pPr>
      <w:r w:rsidRPr="000C682C">
        <w:rPr>
          <w:rFonts w:ascii="Simplified Arabic" w:eastAsia="Times New Roman" w:hAnsi="Simplified Arabic" w:cs="Simplified Arabic"/>
          <w:sz w:val="28"/>
          <w:szCs w:val="28"/>
          <w:rtl/>
        </w:rPr>
        <w:t>2- إذا كان البين من مدونات الحكم المطعون فيه أن الطاعن تمسك أمام محكمة الموضوع بتملكه المحل التجارى موضوع التداعى بشرائه بتاريخ 1974-11-3 من المالك الظاهر " المطعون ضده الثالث " الذى كان حائزاً له و محرر عقد إيجاره بإسمه و توافرت لديه حسن  النية وقت شرائه و حيازته للمحل و كان الحكم المطعون فيه قد أطرح هذا الدفاع تأسيساً على قوله أن مؤدى الحكم الصادر فى الدعوى رقم 65 لسنة 1973  إفلاس كلى القاهرة بتاريخ 1974-11-9 أن المحل موضوع النزاع يدخل ضمن أموال التفليسة التى يمثلها المطعون ضده الأول ، و من ثم لا يسرى فى حق جماعه الدائنين التصرف فى المحل الصادر من المطعون ضده الثالث ، و لما كان هذا الذى أورده الحكم المطعون فيه قاصر عن مواجهة دفاع الطاعن سالف الذكر فلم يعن بتحقيق حسن نية الطاعن أو سوئها رغم ما لها من الأهميه القانونيه فى تحديد حقوق المشترى فإن الحكم يكون مشوباً بالقصور .</w:t>
      </w:r>
    </w:p>
    <w:p w:rsidR="000C682C" w:rsidRPr="000C682C" w:rsidRDefault="000C682C" w:rsidP="000C682C">
      <w:pPr>
        <w:spacing w:after="0" w:line="240" w:lineRule="auto"/>
        <w:jc w:val="lowKashida"/>
        <w:rPr>
          <w:rFonts w:ascii="Times New Roman" w:eastAsia="Times New Roman" w:hAnsi="Times New Roman" w:cs="Simplified Arabic"/>
          <w:sz w:val="28"/>
          <w:szCs w:val="28"/>
        </w:rPr>
      </w:pPr>
    </w:p>
    <w:p w:rsidR="000C682C" w:rsidRPr="000C682C" w:rsidRDefault="000C682C" w:rsidP="000C682C">
      <w:pPr>
        <w:spacing w:after="0" w:line="240" w:lineRule="auto"/>
        <w:jc w:val="center"/>
        <w:rPr>
          <w:rFonts w:ascii="Times New Roman" w:eastAsia="Times New Roman" w:hAnsi="Times New Roman" w:cs="Simplified Arabic"/>
          <w:sz w:val="24"/>
          <w:szCs w:val="24"/>
        </w:rPr>
      </w:pPr>
      <w:r w:rsidRPr="000C682C">
        <w:rPr>
          <w:rFonts w:ascii="Simplified Arabic" w:eastAsia="Times New Roman" w:hAnsi="Simplified Arabic" w:cs="Simplified Arabic"/>
          <w:sz w:val="24"/>
          <w:szCs w:val="24"/>
          <w:rtl/>
        </w:rPr>
        <w:t>" سنة المكتب الفنى "  30 " رقم الصفحة - 482  -  قاعدة رقم –   -  "</w:t>
      </w:r>
    </w:p>
    <w:p w:rsidR="000C682C" w:rsidRPr="000C682C" w:rsidRDefault="000C682C" w:rsidP="000C682C">
      <w:pPr>
        <w:spacing w:after="0" w:line="240" w:lineRule="auto"/>
        <w:rPr>
          <w:rFonts w:ascii="Times New Roman" w:eastAsia="Times New Roman" w:hAnsi="Times New Roman" w:cs="Times New Roman"/>
          <w:sz w:val="24"/>
          <w:szCs w:val="24"/>
        </w:rPr>
      </w:pPr>
    </w:p>
    <w:p w:rsidR="003E5EDE" w:rsidRPr="000C682C" w:rsidRDefault="003E5EDE">
      <w:bookmarkStart w:id="0" w:name="_GoBack"/>
      <w:bookmarkEnd w:id="0"/>
    </w:p>
    <w:sectPr w:rsidR="003E5EDE" w:rsidRPr="000C682C"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D9B"/>
    <w:rsid w:val="0003272B"/>
    <w:rsid w:val="000C682C"/>
    <w:rsid w:val="001C4D9B"/>
    <w:rsid w:val="003E5E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66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1266</Characters>
  <Application>Microsoft Office Word</Application>
  <DocSecurity>0</DocSecurity>
  <Lines>10</Lines>
  <Paragraphs>2</Paragraphs>
  <ScaleCrop>false</ScaleCrop>
  <Company/>
  <LinksUpToDate>false</LinksUpToDate>
  <CharactersWithSpaces>1486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2020-06-03T13:29:00Z</dcterms:created>
  <dcterms:modified xsi:type="dcterms:W3CDTF">2020-06-03T13:29:00Z</dcterms:modified>
</cp:coreProperties>
</file>