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AEC" w:rsidRPr="00FB4AEC" w:rsidRDefault="00FB4AEC" w:rsidP="00FB4AEC">
      <w:pPr>
        <w:spacing w:after="0" w:line="240" w:lineRule="auto"/>
        <w:jc w:val="center"/>
        <w:rPr>
          <w:rFonts w:ascii="Times New Roman" w:eastAsia="Times New Roman" w:hAnsi="Times New Roman" w:cs="Simplified Arabic"/>
          <w:sz w:val="28"/>
          <w:szCs w:val="28"/>
        </w:rPr>
      </w:pPr>
      <w:r w:rsidRPr="00FB4AEC">
        <w:rPr>
          <w:rFonts w:ascii="Times New Roman" w:eastAsia="Times New Roman" w:hAnsi="Times New Roman" w:cs="PT Bold Heading" w:hint="cs"/>
          <w:b/>
          <w:bCs/>
          <w:color w:val="008000"/>
          <w:sz w:val="32"/>
          <w:szCs w:val="32"/>
          <w:rtl/>
          <w:lang w:eastAsia="ar-SA"/>
        </w:rPr>
        <w:t xml:space="preserve">الطعن رقم770 لسنة 47 ق </w:t>
      </w:r>
      <w:r w:rsidRPr="00FB4AEC">
        <w:rPr>
          <w:rFonts w:ascii="Times New Roman" w:eastAsia="Times New Roman" w:hAnsi="Times New Roman" w:cs="Times New Roman" w:hint="cs"/>
          <w:b/>
          <w:bCs/>
          <w:color w:val="008000"/>
          <w:sz w:val="32"/>
          <w:szCs w:val="32"/>
          <w:rtl/>
          <w:lang w:eastAsia="ar-SA"/>
        </w:rPr>
        <w:t>-</w:t>
      </w:r>
      <w:r w:rsidRPr="00FB4AEC">
        <w:rPr>
          <w:rFonts w:ascii="Times New Roman" w:eastAsia="Times New Roman" w:hAnsi="Times New Roman" w:cs="PT Bold Heading" w:hint="cs"/>
          <w:b/>
          <w:bCs/>
          <w:color w:val="008000"/>
          <w:sz w:val="32"/>
          <w:szCs w:val="32"/>
          <w:rtl/>
          <w:lang w:eastAsia="ar-SA"/>
        </w:rPr>
        <w:t xml:space="preserve"> جلسة 27-1-1979</w:t>
      </w:r>
    </w:p>
    <w:p w:rsidR="00FB4AEC" w:rsidRPr="00FB4AEC" w:rsidRDefault="00FB4AEC" w:rsidP="00FB4AEC">
      <w:pPr>
        <w:spacing w:after="0" w:line="240" w:lineRule="auto"/>
        <w:jc w:val="center"/>
        <w:rPr>
          <w:rFonts w:ascii="Times New Roman" w:eastAsia="Times New Roman" w:hAnsi="Times New Roman" w:cs="PT Bold Heading"/>
          <w:b/>
          <w:bCs/>
          <w:color w:val="008000"/>
          <w:sz w:val="32"/>
          <w:szCs w:val="32"/>
          <w:lang w:eastAsia="ar-SA"/>
        </w:rPr>
      </w:pPr>
      <w:r w:rsidRPr="00FB4AEC">
        <w:rPr>
          <w:rFonts w:ascii="Times New Roman" w:eastAsia="Times New Roman" w:hAnsi="Times New Roman" w:cs="PT Bold Heading" w:hint="cs"/>
          <w:b/>
          <w:bCs/>
          <w:color w:val="008000"/>
          <w:sz w:val="32"/>
          <w:szCs w:val="32"/>
          <w:rtl/>
          <w:lang w:eastAsia="ar-SA"/>
        </w:rPr>
        <w:t>الموضوع ،  و  الموجز :</w:t>
      </w:r>
    </w:p>
    <w:p w:rsidR="00FB4AEC" w:rsidRPr="00FB4AEC" w:rsidRDefault="00FB4AEC" w:rsidP="00FB4AEC">
      <w:pPr>
        <w:spacing w:after="0" w:line="240" w:lineRule="auto"/>
        <w:jc w:val="lowKashida"/>
        <w:rPr>
          <w:rFonts w:ascii="Times New Roman" w:eastAsia="Times New Roman" w:hAnsi="Times New Roman" w:cs="Simplified Arabic"/>
          <w:b/>
          <w:bCs/>
          <w:sz w:val="32"/>
          <w:szCs w:val="32"/>
        </w:rPr>
      </w:pPr>
    </w:p>
    <w:p w:rsidR="00FB4AEC" w:rsidRPr="00FB4AEC" w:rsidRDefault="00FB4AEC" w:rsidP="00FB4AEC">
      <w:pPr>
        <w:spacing w:after="0" w:line="240" w:lineRule="auto"/>
        <w:jc w:val="lowKashida"/>
        <w:rPr>
          <w:rFonts w:ascii="Times New Roman" w:eastAsia="Times New Roman" w:hAnsi="Times New Roman" w:cs="Simplified Arabic"/>
          <w:b/>
          <w:bCs/>
          <w:sz w:val="28"/>
          <w:szCs w:val="28"/>
        </w:rPr>
      </w:pPr>
      <w:r w:rsidRPr="00FB4AEC">
        <w:rPr>
          <w:rFonts w:ascii="Simplified Arabic" w:eastAsia="Times New Roman" w:hAnsi="Simplified Arabic" w:cs="Simplified Arabic"/>
          <w:b/>
          <w:bCs/>
          <w:sz w:val="32"/>
          <w:szCs w:val="32"/>
          <w:rtl/>
        </w:rPr>
        <w:t xml:space="preserve">(1) </w:t>
      </w:r>
      <w:r w:rsidRPr="00FB4AEC">
        <w:rPr>
          <w:rFonts w:ascii="Simplified Arabic" w:eastAsia="Times New Roman" w:hAnsi="Simplified Arabic" w:cs="Simplified Arabic"/>
          <w:b/>
          <w:bCs/>
          <w:sz w:val="28"/>
          <w:szCs w:val="24"/>
          <w:rtl/>
        </w:rPr>
        <w:t xml:space="preserve">   </w:t>
      </w:r>
      <w:r w:rsidRPr="00FB4AEC">
        <w:rPr>
          <w:rFonts w:ascii="Simplified Arabic" w:eastAsia="Times New Roman" w:hAnsi="Simplified Arabic" w:cs="Simplified Arabic"/>
          <w:b/>
          <w:bCs/>
          <w:sz w:val="28"/>
          <w:szCs w:val="28"/>
          <w:rtl/>
        </w:rPr>
        <w:t xml:space="preserve"> إيجار</w:t>
      </w:r>
    </w:p>
    <w:p w:rsidR="00FB4AEC" w:rsidRPr="00FB4AEC" w:rsidRDefault="00FB4AEC" w:rsidP="00FB4AEC">
      <w:pPr>
        <w:spacing w:after="0" w:line="240" w:lineRule="auto"/>
        <w:rPr>
          <w:rFonts w:ascii="Times New Roman" w:eastAsia="Times New Roman" w:hAnsi="Times New Roman" w:cs="Simplified Arabic"/>
          <w:sz w:val="28"/>
          <w:szCs w:val="28"/>
        </w:rPr>
      </w:pPr>
      <w:r w:rsidRPr="00FB4AEC">
        <w:rPr>
          <w:rFonts w:ascii="Times New Roman" w:eastAsia="Times New Roman" w:hAnsi="Times New Roman" w:cs="Simplified Arabic"/>
          <w:sz w:val="28"/>
          <w:szCs w:val="28"/>
        </w:rPr>
        <w:t>-</w:t>
      </w:r>
      <w:r w:rsidRPr="00FB4AEC">
        <w:rPr>
          <w:rFonts w:ascii="Simplified Arabic" w:eastAsia="Times New Roman" w:hAnsi="Simplified Arabic" w:cs="Simplified Arabic"/>
          <w:sz w:val="28"/>
          <w:szCs w:val="28"/>
          <w:rtl/>
        </w:rPr>
        <w:t xml:space="preserve"> إخلاء المستأجر لمخالفته شروط الإيجار المعقولة بما يرتب ضررا للمالك ق 52 لسنة </w:t>
      </w:r>
      <w:proofErr w:type="gramStart"/>
      <w:r w:rsidRPr="00FB4AEC">
        <w:rPr>
          <w:rFonts w:ascii="Simplified Arabic" w:eastAsia="Times New Roman" w:hAnsi="Simplified Arabic" w:cs="Simplified Arabic"/>
          <w:sz w:val="28"/>
          <w:szCs w:val="28"/>
          <w:rtl/>
        </w:rPr>
        <w:t>1969 .</w:t>
      </w:r>
      <w:proofErr w:type="gramEnd"/>
      <w:r w:rsidRPr="00FB4AEC">
        <w:rPr>
          <w:rFonts w:ascii="Simplified Arabic" w:eastAsia="Times New Roman" w:hAnsi="Simplified Arabic" w:cs="Simplified Arabic"/>
          <w:sz w:val="28"/>
          <w:szCs w:val="28"/>
          <w:rtl/>
        </w:rPr>
        <w:t xml:space="preserve"> عدم إشتراط بلوغ المخالفة حد التغيير الشامل في وجه الإستعمال .</w:t>
      </w:r>
    </w:p>
    <w:p w:rsidR="00FB4AEC" w:rsidRPr="00FB4AEC" w:rsidRDefault="00FB4AEC" w:rsidP="00FB4AEC">
      <w:pPr>
        <w:spacing w:after="0" w:line="240" w:lineRule="auto"/>
        <w:jc w:val="lowKashida"/>
        <w:rPr>
          <w:rFonts w:ascii="Times New Roman" w:eastAsia="Times New Roman" w:hAnsi="Times New Roman" w:cs="Simplified Arabic"/>
          <w:b/>
          <w:bCs/>
          <w:sz w:val="28"/>
          <w:szCs w:val="24"/>
        </w:rPr>
      </w:pPr>
    </w:p>
    <w:p w:rsidR="00FB4AEC" w:rsidRPr="00FB4AEC" w:rsidRDefault="00FB4AEC" w:rsidP="00FB4AEC">
      <w:pPr>
        <w:spacing w:after="0" w:line="240" w:lineRule="auto"/>
        <w:jc w:val="lowKashida"/>
        <w:rPr>
          <w:rFonts w:ascii="Times New Roman" w:eastAsia="Times New Roman" w:hAnsi="Times New Roman" w:cs="Simplified Arabic"/>
          <w:b/>
          <w:bCs/>
          <w:sz w:val="28"/>
          <w:szCs w:val="24"/>
        </w:rPr>
      </w:pPr>
      <w:r w:rsidRPr="00FB4AEC">
        <w:rPr>
          <w:rFonts w:ascii="Simplified Arabic" w:eastAsia="Times New Roman" w:hAnsi="Simplified Arabic" w:cs="Simplified Arabic"/>
          <w:b/>
          <w:bCs/>
          <w:sz w:val="32"/>
          <w:szCs w:val="32"/>
          <w:rtl/>
        </w:rPr>
        <w:t xml:space="preserve">(2) </w:t>
      </w:r>
      <w:r w:rsidRPr="00FB4AEC">
        <w:rPr>
          <w:rFonts w:ascii="Simplified Arabic" w:eastAsia="Times New Roman" w:hAnsi="Simplified Arabic" w:cs="Simplified Arabic"/>
          <w:b/>
          <w:bCs/>
          <w:sz w:val="28"/>
          <w:szCs w:val="24"/>
          <w:rtl/>
        </w:rPr>
        <w:t xml:space="preserve">   </w:t>
      </w:r>
      <w:r w:rsidRPr="00FB4AEC">
        <w:rPr>
          <w:rFonts w:ascii="Simplified Arabic" w:eastAsia="Times New Roman" w:hAnsi="Simplified Arabic" w:cs="Simplified Arabic"/>
          <w:b/>
          <w:bCs/>
          <w:sz w:val="28"/>
          <w:szCs w:val="28"/>
          <w:rtl/>
        </w:rPr>
        <w:t>إيجار</w:t>
      </w:r>
    </w:p>
    <w:p w:rsidR="00FB4AEC" w:rsidRPr="00FB4AEC" w:rsidRDefault="00FB4AEC" w:rsidP="00FB4AEC">
      <w:pPr>
        <w:spacing w:after="0" w:line="240" w:lineRule="auto"/>
        <w:rPr>
          <w:rFonts w:ascii="Times New Roman" w:eastAsia="Times New Roman" w:hAnsi="Times New Roman" w:cs="Simplified Arabic"/>
          <w:sz w:val="28"/>
          <w:szCs w:val="28"/>
        </w:rPr>
      </w:pPr>
      <w:r w:rsidRPr="00FB4AEC">
        <w:rPr>
          <w:rFonts w:ascii="Times New Roman" w:eastAsia="Times New Roman" w:hAnsi="Times New Roman" w:cs="Simplified Arabic"/>
          <w:sz w:val="28"/>
          <w:szCs w:val="28"/>
        </w:rPr>
        <w:t>-</w:t>
      </w:r>
      <w:r w:rsidRPr="00FB4AEC">
        <w:rPr>
          <w:rFonts w:ascii="Simplified Arabic" w:eastAsia="Times New Roman" w:hAnsi="Simplified Arabic" w:cs="Simplified Arabic"/>
          <w:sz w:val="28"/>
          <w:szCs w:val="28"/>
          <w:rtl/>
        </w:rPr>
        <w:t xml:space="preserve"> الحكم بإخلاء المستأجر لتغييره وجه إستعمال المكان المؤجر مخزنا للأثاث الي ورشة نجارة بما يرتب ضررا </w:t>
      </w:r>
      <w:proofErr w:type="gramStart"/>
      <w:r w:rsidRPr="00FB4AEC">
        <w:rPr>
          <w:rFonts w:ascii="Simplified Arabic" w:eastAsia="Times New Roman" w:hAnsi="Simplified Arabic" w:cs="Simplified Arabic"/>
          <w:sz w:val="28"/>
          <w:szCs w:val="28"/>
          <w:rtl/>
        </w:rPr>
        <w:t>للمؤجرة .</w:t>
      </w:r>
      <w:proofErr w:type="gramEnd"/>
      <w:r w:rsidRPr="00FB4AEC">
        <w:rPr>
          <w:rFonts w:ascii="Simplified Arabic" w:eastAsia="Times New Roman" w:hAnsi="Simplified Arabic" w:cs="Simplified Arabic"/>
          <w:sz w:val="28"/>
          <w:szCs w:val="28"/>
          <w:rtl/>
        </w:rPr>
        <w:t xml:space="preserve"> لا خطأ .</w:t>
      </w:r>
    </w:p>
    <w:p w:rsidR="00FB4AEC" w:rsidRPr="00FB4AEC" w:rsidRDefault="00FB4AEC" w:rsidP="00FB4AEC">
      <w:pPr>
        <w:spacing w:after="0" w:line="240" w:lineRule="auto"/>
        <w:jc w:val="lowKashida"/>
        <w:rPr>
          <w:rFonts w:ascii="Simplified Arabic" w:eastAsia="Times New Roman" w:hAnsi="Simplified Arabic" w:cs="Simplified Arabic"/>
          <w:b/>
          <w:bCs/>
          <w:sz w:val="28"/>
          <w:szCs w:val="24"/>
        </w:rPr>
      </w:pPr>
    </w:p>
    <w:p w:rsidR="00FB4AEC" w:rsidRPr="00FB4AEC" w:rsidRDefault="00FB4AEC" w:rsidP="00FB4AEC">
      <w:pPr>
        <w:spacing w:after="0" w:line="240" w:lineRule="auto"/>
        <w:jc w:val="lowKashida"/>
        <w:rPr>
          <w:rFonts w:ascii="Simplified Arabic" w:eastAsia="Times New Roman" w:hAnsi="Simplified Arabic" w:cs="Simplified Arabic"/>
          <w:b/>
          <w:bCs/>
          <w:sz w:val="28"/>
          <w:szCs w:val="24"/>
          <w:rtl/>
        </w:rPr>
      </w:pPr>
    </w:p>
    <w:p w:rsidR="00FB4AEC" w:rsidRPr="00FB4AEC" w:rsidRDefault="00FB4AEC" w:rsidP="00FB4AEC">
      <w:pPr>
        <w:spacing w:after="0" w:line="240" w:lineRule="auto"/>
        <w:jc w:val="center"/>
        <w:rPr>
          <w:rFonts w:ascii="Times New Roman" w:eastAsia="Times New Roman" w:hAnsi="Times New Roman" w:cs="PT Bold Heading"/>
          <w:b/>
          <w:bCs/>
          <w:color w:val="008000"/>
          <w:sz w:val="32"/>
          <w:szCs w:val="32"/>
          <w:rtl/>
          <w:lang w:eastAsia="ar-SA"/>
        </w:rPr>
      </w:pPr>
      <w:r w:rsidRPr="00FB4AEC">
        <w:rPr>
          <w:rFonts w:ascii="Times New Roman" w:eastAsia="Times New Roman" w:hAnsi="Times New Roman" w:cs="PT Bold Heading" w:hint="cs"/>
          <w:b/>
          <w:bCs/>
          <w:color w:val="008000"/>
          <w:sz w:val="32"/>
          <w:szCs w:val="32"/>
          <w:rtl/>
          <w:lang w:eastAsia="ar-SA"/>
        </w:rPr>
        <w:t>القاعدة</w:t>
      </w:r>
    </w:p>
    <w:p w:rsidR="00FB4AEC" w:rsidRPr="00FB4AEC" w:rsidRDefault="00FB4AEC" w:rsidP="00FB4AEC">
      <w:pPr>
        <w:spacing w:after="0" w:line="240" w:lineRule="auto"/>
        <w:jc w:val="lowKashida"/>
        <w:rPr>
          <w:rFonts w:ascii="Times New Roman" w:eastAsia="Times New Roman" w:hAnsi="Times New Roman" w:cs="Simplified Arabic" w:hint="cs"/>
          <w:sz w:val="28"/>
          <w:szCs w:val="28"/>
          <w:rtl/>
        </w:rPr>
      </w:pPr>
      <w:r w:rsidRPr="00FB4AEC">
        <w:rPr>
          <w:rFonts w:ascii="Simplified Arabic" w:eastAsia="Times New Roman" w:hAnsi="Simplified Arabic" w:cs="Simplified Arabic"/>
          <w:sz w:val="28"/>
          <w:szCs w:val="28"/>
          <w:rtl/>
        </w:rPr>
        <w:t>1- تجيز الفقرة "ج" من المادة 23 من القانون رقم 52 لسنة 1969 إخلاء المكان المؤجر إذا إستعمله المستأجر بطريقة تخالف شروط الإيجار المعقولة و أن يصير ذلك بمصلحة المؤجر إلا أنه لا يلزم أن تبلغ مخالفة المستأجر لتلك الشروط حد التغيير الشامل فى الإستعمال إذ من المقرر فى قضاء هذه المحكمة إلتزام المستأجر بإحترام كافة شروط عقد الإيجار إلا ما كان منها مشوباً بالتعسف فى إستعمال الحق .</w:t>
      </w:r>
    </w:p>
    <w:p w:rsidR="00FB4AEC" w:rsidRPr="00FB4AEC" w:rsidRDefault="00FB4AEC" w:rsidP="00FB4AEC">
      <w:pPr>
        <w:spacing w:after="0" w:line="240" w:lineRule="auto"/>
        <w:jc w:val="lowKashida"/>
        <w:rPr>
          <w:rFonts w:ascii="Times New Roman" w:eastAsia="Times New Roman" w:hAnsi="Times New Roman" w:cs="Simplified Arabic"/>
          <w:sz w:val="28"/>
          <w:szCs w:val="28"/>
        </w:rPr>
      </w:pPr>
    </w:p>
    <w:p w:rsidR="00FB4AEC" w:rsidRPr="00FB4AEC" w:rsidRDefault="00FB4AEC" w:rsidP="00FB4AEC">
      <w:pPr>
        <w:spacing w:after="0" w:line="240" w:lineRule="auto"/>
        <w:jc w:val="lowKashida"/>
        <w:rPr>
          <w:rFonts w:ascii="Times New Roman" w:eastAsia="Times New Roman" w:hAnsi="Times New Roman" w:cs="Simplified Arabic"/>
          <w:sz w:val="28"/>
          <w:szCs w:val="28"/>
        </w:rPr>
      </w:pPr>
      <w:r w:rsidRPr="00FB4AEC">
        <w:rPr>
          <w:rFonts w:ascii="Simplified Arabic" w:eastAsia="Times New Roman" w:hAnsi="Simplified Arabic" w:cs="Simplified Arabic"/>
          <w:sz w:val="28"/>
          <w:szCs w:val="28"/>
          <w:rtl/>
        </w:rPr>
        <w:t>2- إذ كان الحكم المطعون فيه قد إستند فى قضائه بالإخلاء إلى أن الطاعن قد خالف شروط عقد الإيجار بتغييره إستعمال المكان المؤجر من مخزن للأثاث إلى ورشة لأعمال النجارة و طلائها و أنه قد ترتب على هذا التغيير ضرر بمصلحة المطعون عليها تمثل فى إزعاج السكان نتيجة لما يحدثه هذا الإستعمال من ضوضاء ، فضلاً عن تشويه واجهة العقار الواقع فى منطقى حظر القانون مباشرة مثل هذا النشاط فيها لإعتبارات تتعلق بالهدوء و النظافة و حسن المظهر فإن الحكم لا يكون قد أخطأ فى تفسير القانون أو فى تطبيقه على ما ثبت له من الواقع فى الدعوى .</w:t>
      </w:r>
    </w:p>
    <w:p w:rsidR="00FB4AEC" w:rsidRPr="00FB4AEC" w:rsidRDefault="00FB4AEC" w:rsidP="00FB4AEC">
      <w:pPr>
        <w:spacing w:after="0" w:line="240" w:lineRule="auto"/>
        <w:jc w:val="lowKashida"/>
        <w:rPr>
          <w:rFonts w:ascii="Times New Roman" w:eastAsia="Times New Roman" w:hAnsi="Times New Roman" w:cs="Simplified Arabic"/>
          <w:sz w:val="28"/>
          <w:szCs w:val="28"/>
        </w:rPr>
      </w:pPr>
    </w:p>
    <w:p w:rsidR="00FB4AEC" w:rsidRPr="00FB4AEC" w:rsidRDefault="00FB4AEC" w:rsidP="00FB4AEC">
      <w:pPr>
        <w:spacing w:after="0" w:line="240" w:lineRule="auto"/>
        <w:jc w:val="center"/>
        <w:rPr>
          <w:rFonts w:ascii="Times New Roman" w:eastAsia="Times New Roman" w:hAnsi="Times New Roman" w:cs="Simplified Arabic"/>
          <w:sz w:val="24"/>
          <w:szCs w:val="24"/>
        </w:rPr>
      </w:pPr>
      <w:r w:rsidRPr="00FB4AEC">
        <w:rPr>
          <w:rFonts w:ascii="Simplified Arabic" w:eastAsia="Times New Roman" w:hAnsi="Simplified Arabic" w:cs="Simplified Arabic"/>
          <w:sz w:val="24"/>
          <w:szCs w:val="24"/>
          <w:rtl/>
        </w:rPr>
        <w:t>" سنة المكتب الفنى "  30 " رقم الصفحة -  413-  قاعدة رقم –   -  "</w:t>
      </w:r>
    </w:p>
    <w:p w:rsidR="00FB4AEC" w:rsidRPr="00FB4AEC" w:rsidRDefault="00FB4AEC" w:rsidP="00FB4AEC">
      <w:pPr>
        <w:spacing w:after="0" w:line="240" w:lineRule="auto"/>
        <w:rPr>
          <w:rFonts w:ascii="Times New Roman" w:eastAsia="Times New Roman" w:hAnsi="Times New Roman" w:cs="Times New Roman"/>
          <w:sz w:val="24"/>
          <w:szCs w:val="24"/>
        </w:rPr>
      </w:pPr>
    </w:p>
    <w:p w:rsidR="003E5EDE" w:rsidRPr="00FB4AEC" w:rsidRDefault="003E5EDE">
      <w:bookmarkStart w:id="0" w:name="_GoBack"/>
      <w:bookmarkEnd w:id="0"/>
    </w:p>
    <w:sectPr w:rsidR="003E5EDE" w:rsidRPr="00FB4AEC"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A8"/>
    <w:rsid w:val="0003272B"/>
    <w:rsid w:val="003E5EDE"/>
    <w:rsid w:val="008033A8"/>
    <w:rsid w:val="00FB4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091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2020-06-03T13:20:00Z</dcterms:created>
  <dcterms:modified xsi:type="dcterms:W3CDTF">2020-06-03T13:20:00Z</dcterms:modified>
</cp:coreProperties>
</file>