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06" w:rsidRPr="00BD2306" w:rsidRDefault="00BD2306" w:rsidP="00BD2306">
      <w:pPr>
        <w:spacing w:after="0" w:line="240" w:lineRule="auto"/>
        <w:jc w:val="center"/>
        <w:rPr>
          <w:rFonts w:ascii="Times New Roman" w:eastAsia="Times New Roman" w:hAnsi="Times New Roman" w:cs="PT Bold Heading"/>
          <w:b/>
          <w:bCs/>
          <w:color w:val="008000"/>
          <w:sz w:val="32"/>
          <w:szCs w:val="32"/>
          <w:lang w:eastAsia="ar-SA"/>
        </w:rPr>
      </w:pPr>
      <w:r w:rsidRPr="00BD2306">
        <w:rPr>
          <w:rFonts w:ascii="Times New Roman" w:eastAsia="Times New Roman" w:hAnsi="Times New Roman" w:cs="PT Bold Heading" w:hint="cs"/>
          <w:b/>
          <w:bCs/>
          <w:color w:val="008000"/>
          <w:sz w:val="32"/>
          <w:szCs w:val="32"/>
          <w:rtl/>
          <w:lang w:eastAsia="ar-SA"/>
        </w:rPr>
        <w:t xml:space="preserve">الطعنان رقما 39 و 396 لسنة 48 ق </w:t>
      </w:r>
      <w:r w:rsidRPr="00BD2306">
        <w:rPr>
          <w:rFonts w:ascii="Times New Roman" w:eastAsia="Times New Roman" w:hAnsi="Times New Roman" w:cs="Times New Roman" w:hint="cs"/>
          <w:b/>
          <w:bCs/>
          <w:color w:val="008000"/>
          <w:sz w:val="32"/>
          <w:szCs w:val="32"/>
          <w:rtl/>
          <w:lang w:eastAsia="ar-SA"/>
        </w:rPr>
        <w:t>-</w:t>
      </w:r>
      <w:r w:rsidRPr="00BD2306">
        <w:rPr>
          <w:rFonts w:ascii="Times New Roman" w:eastAsia="Times New Roman" w:hAnsi="Times New Roman" w:cs="PT Bold Heading" w:hint="cs"/>
          <w:b/>
          <w:bCs/>
          <w:color w:val="008000"/>
          <w:sz w:val="32"/>
          <w:szCs w:val="32"/>
          <w:rtl/>
          <w:lang w:eastAsia="ar-SA"/>
        </w:rPr>
        <w:t xml:space="preserve"> جلسة 23-5-1979</w:t>
      </w:r>
    </w:p>
    <w:p w:rsidR="00BD2306" w:rsidRPr="00BD2306" w:rsidRDefault="00BD2306" w:rsidP="00BD2306">
      <w:pPr>
        <w:spacing w:after="0" w:line="240" w:lineRule="auto"/>
        <w:jc w:val="center"/>
        <w:rPr>
          <w:rFonts w:ascii="Times New Roman" w:eastAsia="Times New Roman" w:hAnsi="Times New Roman" w:cs="PT Bold Heading"/>
          <w:b/>
          <w:bCs/>
          <w:color w:val="008000"/>
          <w:sz w:val="32"/>
          <w:szCs w:val="32"/>
          <w:lang w:eastAsia="ar-SA"/>
        </w:rPr>
      </w:pPr>
      <w:r w:rsidRPr="00BD2306">
        <w:rPr>
          <w:rFonts w:ascii="Times New Roman" w:eastAsia="Times New Roman" w:hAnsi="Times New Roman" w:cs="PT Bold Heading" w:hint="cs"/>
          <w:b/>
          <w:bCs/>
          <w:color w:val="008000"/>
          <w:sz w:val="32"/>
          <w:szCs w:val="32"/>
          <w:rtl/>
          <w:lang w:eastAsia="ar-SA"/>
        </w:rPr>
        <w:t>الموضوع ،  و  الموجز :</w:t>
      </w:r>
    </w:p>
    <w:p w:rsidR="00BD2306" w:rsidRPr="00BD2306" w:rsidRDefault="00BD2306" w:rsidP="00BD2306">
      <w:pPr>
        <w:spacing w:after="0" w:line="240" w:lineRule="auto"/>
        <w:jc w:val="lowKashida"/>
        <w:rPr>
          <w:rFonts w:ascii="Times New Roman" w:eastAsia="Times New Roman" w:hAnsi="Times New Roman" w:cs="Simplified Arabic"/>
          <w:b/>
          <w:bCs/>
          <w:sz w:val="32"/>
          <w:szCs w:val="32"/>
        </w:rPr>
      </w:pPr>
    </w:p>
    <w:p w:rsidR="00BD2306" w:rsidRPr="00BD2306" w:rsidRDefault="00BD2306" w:rsidP="00BD2306">
      <w:pPr>
        <w:spacing w:after="0" w:line="240" w:lineRule="auto"/>
        <w:jc w:val="lowKashida"/>
        <w:rPr>
          <w:rFonts w:ascii="Times New Roman" w:eastAsia="Times New Roman" w:hAnsi="Times New Roman" w:cs="Simplified Arabic"/>
          <w:b/>
          <w:bCs/>
          <w:sz w:val="28"/>
          <w:szCs w:val="28"/>
        </w:rPr>
      </w:pPr>
      <w:r w:rsidRPr="00BD2306">
        <w:rPr>
          <w:rFonts w:ascii="Simplified Arabic" w:eastAsia="Times New Roman" w:hAnsi="Simplified Arabic" w:cs="Simplified Arabic"/>
          <w:b/>
          <w:bCs/>
          <w:sz w:val="32"/>
          <w:szCs w:val="32"/>
          <w:rtl/>
        </w:rPr>
        <w:t xml:space="preserve">(1) </w:t>
      </w:r>
      <w:r w:rsidRPr="00BD2306">
        <w:rPr>
          <w:rFonts w:ascii="Simplified Arabic" w:eastAsia="Times New Roman" w:hAnsi="Simplified Arabic" w:cs="Simplified Arabic"/>
          <w:b/>
          <w:bCs/>
          <w:sz w:val="28"/>
          <w:szCs w:val="24"/>
          <w:rtl/>
        </w:rPr>
        <w:t xml:space="preserve">   </w:t>
      </w:r>
      <w:r w:rsidRPr="00BD2306">
        <w:rPr>
          <w:rFonts w:ascii="Simplified Arabic" w:eastAsia="Times New Roman" w:hAnsi="Simplified Arabic" w:cs="Simplified Arabic"/>
          <w:b/>
          <w:bCs/>
          <w:sz w:val="28"/>
          <w:szCs w:val="28"/>
          <w:rtl/>
        </w:rPr>
        <w:t xml:space="preserve"> إيجار</w:t>
      </w:r>
    </w:p>
    <w:p w:rsidR="00BD2306" w:rsidRPr="00BD2306" w:rsidRDefault="00BD2306" w:rsidP="00BD2306">
      <w:pPr>
        <w:spacing w:after="0" w:line="240" w:lineRule="auto"/>
        <w:jc w:val="lowKashida"/>
        <w:rPr>
          <w:rFonts w:ascii="Times New Roman" w:eastAsia="Times New Roman" w:hAnsi="Times New Roman" w:cs="Simplified Arabic"/>
          <w:sz w:val="28"/>
          <w:szCs w:val="28"/>
        </w:rPr>
      </w:pPr>
      <w:r w:rsidRPr="00BD2306">
        <w:rPr>
          <w:rFonts w:ascii="Times New Roman" w:eastAsia="Times New Roman" w:hAnsi="Times New Roman" w:cs="Simplified Arabic"/>
          <w:sz w:val="28"/>
          <w:szCs w:val="28"/>
        </w:rPr>
        <w:t>-</w:t>
      </w:r>
      <w:r w:rsidRPr="00BD2306">
        <w:rPr>
          <w:rFonts w:ascii="Simplified Arabic" w:eastAsia="Times New Roman" w:hAnsi="Simplified Arabic" w:cs="Simplified Arabic"/>
          <w:sz w:val="28"/>
          <w:szCs w:val="28"/>
          <w:rtl/>
        </w:rPr>
        <w:t xml:space="preserve"> الأماكن المؤجرة للمصالح الحكومية وفروعها غير الواقعة في المناطق المحددة بالقانون 121 لسنة </w:t>
      </w:r>
      <w:proofErr w:type="gramStart"/>
      <w:r w:rsidRPr="00BD2306">
        <w:rPr>
          <w:rFonts w:ascii="Simplified Arabic" w:eastAsia="Times New Roman" w:hAnsi="Simplified Arabic" w:cs="Simplified Arabic"/>
          <w:sz w:val="28"/>
          <w:szCs w:val="28"/>
          <w:rtl/>
        </w:rPr>
        <w:t>1947 .</w:t>
      </w:r>
      <w:proofErr w:type="gramEnd"/>
      <w:r w:rsidRPr="00BD2306">
        <w:rPr>
          <w:rFonts w:ascii="Simplified Arabic" w:eastAsia="Times New Roman" w:hAnsi="Simplified Arabic" w:cs="Simplified Arabic"/>
          <w:sz w:val="28"/>
          <w:szCs w:val="28"/>
          <w:rtl/>
        </w:rPr>
        <w:t xml:space="preserve"> خضوعها لكافة القواعد المنظمة للعلاقة الإيجارية بشأن الامتداد القانوني للعقد أو تحديد الأجرة .</w:t>
      </w:r>
    </w:p>
    <w:p w:rsidR="00BD2306" w:rsidRPr="00BD2306" w:rsidRDefault="00BD2306" w:rsidP="00BD2306">
      <w:pPr>
        <w:spacing w:after="0" w:line="240" w:lineRule="auto"/>
        <w:jc w:val="lowKashida"/>
        <w:rPr>
          <w:rFonts w:ascii="Times New Roman" w:eastAsia="Times New Roman" w:hAnsi="Times New Roman" w:cs="Simplified Arabic"/>
          <w:b/>
          <w:bCs/>
          <w:sz w:val="28"/>
          <w:szCs w:val="24"/>
        </w:rPr>
      </w:pPr>
    </w:p>
    <w:p w:rsidR="00BD2306" w:rsidRPr="00BD2306" w:rsidRDefault="00BD2306" w:rsidP="00BD2306">
      <w:pPr>
        <w:spacing w:after="0" w:line="240" w:lineRule="auto"/>
        <w:jc w:val="lowKashida"/>
        <w:rPr>
          <w:rFonts w:ascii="Times New Roman" w:eastAsia="Times New Roman" w:hAnsi="Times New Roman" w:cs="Simplified Arabic"/>
          <w:b/>
          <w:bCs/>
          <w:sz w:val="28"/>
          <w:szCs w:val="24"/>
        </w:rPr>
      </w:pPr>
    </w:p>
    <w:p w:rsidR="00BD2306" w:rsidRPr="00BD2306" w:rsidRDefault="00BD2306" w:rsidP="00BD2306">
      <w:pPr>
        <w:spacing w:after="0" w:line="240" w:lineRule="auto"/>
        <w:jc w:val="lowKashida"/>
        <w:rPr>
          <w:rFonts w:ascii="Times New Roman" w:eastAsia="Times New Roman" w:hAnsi="Times New Roman" w:cs="Simplified Arabic"/>
          <w:b/>
          <w:bCs/>
          <w:sz w:val="28"/>
          <w:szCs w:val="24"/>
        </w:rPr>
      </w:pPr>
      <w:r w:rsidRPr="00BD2306">
        <w:rPr>
          <w:rFonts w:ascii="Simplified Arabic" w:eastAsia="Times New Roman" w:hAnsi="Simplified Arabic" w:cs="Simplified Arabic"/>
          <w:b/>
          <w:bCs/>
          <w:sz w:val="32"/>
          <w:szCs w:val="32"/>
          <w:rtl/>
        </w:rPr>
        <w:t xml:space="preserve">(2) </w:t>
      </w:r>
      <w:r w:rsidRPr="00BD2306">
        <w:rPr>
          <w:rFonts w:ascii="Simplified Arabic" w:eastAsia="Times New Roman" w:hAnsi="Simplified Arabic" w:cs="Simplified Arabic"/>
          <w:b/>
          <w:bCs/>
          <w:sz w:val="28"/>
          <w:szCs w:val="24"/>
          <w:rtl/>
        </w:rPr>
        <w:t xml:space="preserve">   </w:t>
      </w:r>
      <w:r w:rsidRPr="00BD2306">
        <w:rPr>
          <w:rFonts w:ascii="Simplified Arabic" w:eastAsia="Times New Roman" w:hAnsi="Simplified Arabic" w:cs="Simplified Arabic"/>
          <w:b/>
          <w:bCs/>
          <w:sz w:val="28"/>
          <w:szCs w:val="28"/>
          <w:rtl/>
        </w:rPr>
        <w:t>إيجار</w:t>
      </w:r>
    </w:p>
    <w:p w:rsidR="00BD2306" w:rsidRPr="00BD2306" w:rsidRDefault="00BD2306" w:rsidP="00BD2306">
      <w:pPr>
        <w:spacing w:after="0" w:line="240" w:lineRule="auto"/>
        <w:jc w:val="lowKashida"/>
        <w:rPr>
          <w:rFonts w:ascii="Times New Roman" w:eastAsia="Times New Roman" w:hAnsi="Times New Roman" w:cs="Simplified Arabic"/>
          <w:sz w:val="28"/>
          <w:szCs w:val="28"/>
        </w:rPr>
      </w:pPr>
      <w:r w:rsidRPr="00BD2306">
        <w:rPr>
          <w:rFonts w:ascii="Times New Roman" w:eastAsia="Times New Roman" w:hAnsi="Times New Roman" w:cs="Simplified Arabic"/>
          <w:sz w:val="28"/>
          <w:szCs w:val="28"/>
        </w:rPr>
        <w:t>-</w:t>
      </w:r>
      <w:r w:rsidRPr="00BD2306">
        <w:rPr>
          <w:rFonts w:ascii="Simplified Arabic" w:eastAsia="Times New Roman" w:hAnsi="Simplified Arabic" w:cs="Simplified Arabic"/>
          <w:sz w:val="28"/>
          <w:szCs w:val="28"/>
          <w:rtl/>
        </w:rPr>
        <w:t xml:space="preserve"> المكان المؤجر لوزارة الشئون الاجتماعية غير الواقع في المناطق المحددة بالقانون 121 لسنة </w:t>
      </w:r>
      <w:proofErr w:type="gramStart"/>
      <w:r w:rsidRPr="00BD2306">
        <w:rPr>
          <w:rFonts w:ascii="Simplified Arabic" w:eastAsia="Times New Roman" w:hAnsi="Simplified Arabic" w:cs="Simplified Arabic"/>
          <w:sz w:val="28"/>
          <w:szCs w:val="28"/>
          <w:rtl/>
        </w:rPr>
        <w:t>1947 .</w:t>
      </w:r>
      <w:proofErr w:type="gramEnd"/>
      <w:r w:rsidRPr="00BD2306">
        <w:rPr>
          <w:rFonts w:ascii="Simplified Arabic" w:eastAsia="Times New Roman" w:hAnsi="Simplified Arabic" w:cs="Simplified Arabic"/>
          <w:sz w:val="28"/>
          <w:szCs w:val="28"/>
          <w:rtl/>
        </w:rPr>
        <w:t xml:space="preserve"> خضوعه لقوانين التخفيض اللاحقة للقانون المذكور . لا يغير من ذلك صدور القرار الوزاري من بعد بخضوع هذه المناطق للقانون .</w:t>
      </w:r>
    </w:p>
    <w:p w:rsidR="00BD2306" w:rsidRPr="00BD2306" w:rsidRDefault="00BD2306" w:rsidP="00BD2306">
      <w:pPr>
        <w:spacing w:after="0" w:line="240" w:lineRule="auto"/>
        <w:jc w:val="lowKashida"/>
        <w:rPr>
          <w:rFonts w:ascii="Times New Roman" w:eastAsia="Times New Roman" w:hAnsi="Times New Roman" w:cs="Simplified Arabic"/>
          <w:b/>
          <w:bCs/>
          <w:sz w:val="28"/>
          <w:szCs w:val="24"/>
        </w:rPr>
      </w:pPr>
    </w:p>
    <w:p w:rsidR="00BD2306" w:rsidRPr="00BD2306" w:rsidRDefault="00BD2306" w:rsidP="00BD2306">
      <w:pPr>
        <w:spacing w:after="0" w:line="240" w:lineRule="auto"/>
        <w:jc w:val="lowKashida"/>
        <w:rPr>
          <w:rFonts w:ascii="Simplified Arabic" w:eastAsia="Times New Roman" w:hAnsi="Simplified Arabic" w:cs="Simplified Arabic"/>
          <w:b/>
          <w:bCs/>
          <w:sz w:val="28"/>
          <w:szCs w:val="24"/>
        </w:rPr>
      </w:pPr>
    </w:p>
    <w:p w:rsidR="00BD2306" w:rsidRPr="00BD2306" w:rsidRDefault="00BD2306" w:rsidP="00BD2306">
      <w:pPr>
        <w:spacing w:after="0" w:line="240" w:lineRule="auto"/>
        <w:jc w:val="lowKashida"/>
        <w:rPr>
          <w:rFonts w:ascii="Times New Roman" w:eastAsia="Times New Roman" w:hAnsi="Times New Roman" w:cs="Simplified Arabic"/>
          <w:b/>
          <w:bCs/>
          <w:sz w:val="28"/>
          <w:szCs w:val="24"/>
          <w:rtl/>
        </w:rPr>
      </w:pPr>
      <w:r w:rsidRPr="00BD2306">
        <w:rPr>
          <w:rFonts w:ascii="Simplified Arabic" w:eastAsia="Times New Roman" w:hAnsi="Simplified Arabic" w:cs="Simplified Arabic"/>
          <w:b/>
          <w:bCs/>
          <w:sz w:val="32"/>
          <w:szCs w:val="32"/>
          <w:rtl/>
        </w:rPr>
        <w:t xml:space="preserve">(3) </w:t>
      </w:r>
      <w:r w:rsidRPr="00BD2306">
        <w:rPr>
          <w:rFonts w:ascii="Simplified Arabic" w:eastAsia="Times New Roman" w:hAnsi="Simplified Arabic" w:cs="Simplified Arabic"/>
          <w:b/>
          <w:bCs/>
          <w:sz w:val="28"/>
          <w:szCs w:val="24"/>
          <w:rtl/>
        </w:rPr>
        <w:t xml:space="preserve">   </w:t>
      </w:r>
      <w:r w:rsidRPr="00BD2306">
        <w:rPr>
          <w:rFonts w:ascii="Simplified Arabic" w:eastAsia="Times New Roman" w:hAnsi="Simplified Arabic" w:cs="Simplified Arabic"/>
          <w:b/>
          <w:bCs/>
          <w:sz w:val="28"/>
          <w:szCs w:val="28"/>
          <w:rtl/>
        </w:rPr>
        <w:t>حكم</w:t>
      </w:r>
    </w:p>
    <w:p w:rsidR="00BD2306" w:rsidRPr="00BD2306" w:rsidRDefault="00BD2306" w:rsidP="00BD2306">
      <w:pPr>
        <w:spacing w:after="0" w:line="240" w:lineRule="auto"/>
        <w:jc w:val="lowKashida"/>
        <w:rPr>
          <w:rFonts w:ascii="Times New Roman" w:eastAsia="Times New Roman" w:hAnsi="Times New Roman" w:cs="Simplified Arabic"/>
          <w:sz w:val="28"/>
          <w:szCs w:val="28"/>
        </w:rPr>
      </w:pPr>
      <w:r w:rsidRPr="00BD2306">
        <w:rPr>
          <w:rFonts w:ascii="Times New Roman" w:eastAsia="Times New Roman" w:hAnsi="Times New Roman" w:cs="Simplified Arabic"/>
          <w:sz w:val="28"/>
          <w:szCs w:val="28"/>
        </w:rPr>
        <w:t>-</w:t>
      </w:r>
      <w:r w:rsidRPr="00BD2306">
        <w:rPr>
          <w:rFonts w:ascii="Simplified Arabic" w:eastAsia="Times New Roman" w:hAnsi="Simplified Arabic" w:cs="Simplified Arabic"/>
          <w:sz w:val="28"/>
          <w:szCs w:val="28"/>
          <w:rtl/>
        </w:rPr>
        <w:t xml:space="preserve"> نقض </w:t>
      </w:r>
      <w:proofErr w:type="gramStart"/>
      <w:r w:rsidRPr="00BD2306">
        <w:rPr>
          <w:rFonts w:ascii="Simplified Arabic" w:eastAsia="Times New Roman" w:hAnsi="Simplified Arabic" w:cs="Simplified Arabic"/>
          <w:sz w:val="28"/>
          <w:szCs w:val="28"/>
          <w:rtl/>
        </w:rPr>
        <w:t>الحكم .</w:t>
      </w:r>
      <w:proofErr w:type="gramEnd"/>
      <w:r w:rsidRPr="00BD2306">
        <w:rPr>
          <w:rFonts w:ascii="Simplified Arabic" w:eastAsia="Times New Roman" w:hAnsi="Simplified Arabic" w:cs="Simplified Arabic"/>
          <w:sz w:val="28"/>
          <w:szCs w:val="28"/>
          <w:rtl/>
        </w:rPr>
        <w:t xml:space="preserve"> أثره . إلغاء كافة الأحكام والأعمال اللاحقة للحكم المنقوض .</w:t>
      </w:r>
    </w:p>
    <w:p w:rsidR="00BD2306" w:rsidRPr="00BD2306" w:rsidRDefault="00BD2306" w:rsidP="00BD2306">
      <w:pPr>
        <w:spacing w:after="0" w:line="240" w:lineRule="auto"/>
        <w:jc w:val="lowKashida"/>
        <w:rPr>
          <w:rFonts w:ascii="Simplified Arabic" w:eastAsia="Times New Roman" w:hAnsi="Simplified Arabic" w:cs="Simplified Arabic"/>
          <w:b/>
          <w:bCs/>
          <w:sz w:val="28"/>
          <w:szCs w:val="24"/>
        </w:rPr>
      </w:pPr>
    </w:p>
    <w:p w:rsidR="00BD2306" w:rsidRPr="00BD2306" w:rsidRDefault="00BD2306" w:rsidP="00BD2306">
      <w:pPr>
        <w:spacing w:after="0" w:line="240" w:lineRule="auto"/>
        <w:jc w:val="lowKashida"/>
        <w:rPr>
          <w:rFonts w:ascii="Simplified Arabic" w:eastAsia="Times New Roman" w:hAnsi="Simplified Arabic" w:cs="Simplified Arabic"/>
          <w:b/>
          <w:bCs/>
          <w:sz w:val="28"/>
          <w:szCs w:val="24"/>
          <w:rtl/>
        </w:rPr>
      </w:pPr>
    </w:p>
    <w:p w:rsidR="00BD2306" w:rsidRPr="00BD2306" w:rsidRDefault="00BD2306" w:rsidP="00BD2306">
      <w:pPr>
        <w:spacing w:after="0" w:line="240" w:lineRule="auto"/>
        <w:jc w:val="lowKashida"/>
        <w:rPr>
          <w:rFonts w:ascii="Times New Roman" w:eastAsia="Times New Roman" w:hAnsi="Times New Roman" w:cs="Simplified Arabic"/>
          <w:b/>
          <w:bCs/>
          <w:sz w:val="28"/>
          <w:szCs w:val="24"/>
          <w:rtl/>
        </w:rPr>
      </w:pPr>
    </w:p>
    <w:p w:rsidR="00BD2306" w:rsidRPr="00BD2306" w:rsidRDefault="00BD2306" w:rsidP="00BD2306">
      <w:pPr>
        <w:spacing w:after="0" w:line="240" w:lineRule="auto"/>
        <w:jc w:val="center"/>
        <w:rPr>
          <w:rFonts w:ascii="Times New Roman" w:eastAsia="Times New Roman" w:hAnsi="Times New Roman" w:cs="PT Bold Heading"/>
          <w:b/>
          <w:bCs/>
          <w:color w:val="008000"/>
          <w:sz w:val="32"/>
          <w:szCs w:val="32"/>
          <w:lang w:eastAsia="ar-SA"/>
        </w:rPr>
      </w:pPr>
      <w:r w:rsidRPr="00BD2306">
        <w:rPr>
          <w:rFonts w:ascii="Times New Roman" w:eastAsia="Times New Roman" w:hAnsi="Times New Roman" w:cs="PT Bold Heading" w:hint="cs"/>
          <w:b/>
          <w:bCs/>
          <w:color w:val="008000"/>
          <w:sz w:val="32"/>
          <w:szCs w:val="32"/>
          <w:rtl/>
          <w:lang w:eastAsia="ar-SA"/>
        </w:rPr>
        <w:t>القاعدة</w:t>
      </w:r>
    </w:p>
    <w:p w:rsidR="00BD2306" w:rsidRPr="00BD2306" w:rsidRDefault="00BD2306" w:rsidP="00BD2306">
      <w:pPr>
        <w:spacing w:after="0" w:line="240" w:lineRule="auto"/>
        <w:jc w:val="lowKashida"/>
        <w:rPr>
          <w:rFonts w:ascii="Times New Roman" w:eastAsia="Times New Roman" w:hAnsi="Times New Roman" w:cs="Simplified Arabic"/>
          <w:sz w:val="28"/>
          <w:szCs w:val="28"/>
        </w:rPr>
      </w:pPr>
      <w:r w:rsidRPr="00BD2306">
        <w:rPr>
          <w:rFonts w:ascii="Simplified Arabic" w:eastAsia="Times New Roman" w:hAnsi="Simplified Arabic" w:cs="Simplified Arabic"/>
          <w:sz w:val="28"/>
          <w:szCs w:val="28"/>
          <w:rtl/>
        </w:rPr>
        <w:t xml:space="preserve">1- النص فى المادة الأولى من القانون رقم 121 لسنة 1947 بشأن إيجار الأماكن و تنظيم العلاقة بين المؤجرين و المستأجرين قبل تعديله بالقانون رقم 157 لسنة 1962 يدل على أنه و إن كان الأصل فى الأماكن التى كانت واقعة فى غير المناطق المبينة بالجدول المرفق بالقانون . أنها لا تخضع للتشريعات الإستثنائية أياً كان مستأجروها ، إلا أن المشرع شاء إخضاعها لها متى كان المستأجر إحدى مصالح الحكومة أو فروعها أو أحد مجالس المحافظة أو المدن أو القرى حتى يتيسر القيام بالمرافق العامة المعهودة إلى هذه الأشخاص المعنوية العامة بتدبير أماكن لها بأجور معقولة مراعاة للصالح العام ، مما مفاده سريان أحكامها كافة على هذه الأماكن بكل ما تشتمل عليه من قيود و قواعد منظمة للعلاقة بين المؤجر و المستأجر ، دون تفرقة بين ما تعلق منها بالإمتداد القانونى أو تحديد الأجرة ، شريطة أن يراعى الأساس المذكور فى الفقرة </w:t>
      </w:r>
      <w:r w:rsidRPr="00BD2306">
        <w:rPr>
          <w:rFonts w:ascii="Simplified Arabic" w:eastAsia="Times New Roman" w:hAnsi="Simplified Arabic" w:cs="Simplified Arabic"/>
          <w:sz w:val="28"/>
          <w:szCs w:val="28"/>
          <w:rtl/>
        </w:rPr>
        <w:lastRenderedPageBreak/>
        <w:t>الثانية من المادة الرابعة عشر عند تحديد الحد الأقصى الذى تفرضه هذه التشريعات أو الأسس التى تقررت فى التعديلات اللاحقة للقانون رقم 121 لسنة 1947 بالنسبة للأماكن و أجزاء الأماكن التى إستجدت بعد صدوره .</w:t>
      </w:r>
    </w:p>
    <w:p w:rsidR="00BD2306" w:rsidRPr="00BD2306" w:rsidRDefault="00BD2306" w:rsidP="00BD2306">
      <w:pPr>
        <w:spacing w:after="0" w:line="240" w:lineRule="auto"/>
        <w:jc w:val="lowKashida"/>
        <w:rPr>
          <w:rFonts w:ascii="Times New Roman" w:eastAsia="Times New Roman" w:hAnsi="Times New Roman" w:cs="Simplified Arabic"/>
          <w:sz w:val="28"/>
          <w:szCs w:val="28"/>
        </w:rPr>
      </w:pPr>
    </w:p>
    <w:p w:rsidR="00BD2306" w:rsidRPr="00BD2306" w:rsidRDefault="00BD2306" w:rsidP="00BD2306">
      <w:pPr>
        <w:spacing w:after="0" w:line="240" w:lineRule="auto"/>
        <w:jc w:val="lowKashida"/>
        <w:rPr>
          <w:rFonts w:ascii="Times New Roman" w:eastAsia="Times New Roman" w:hAnsi="Times New Roman" w:cs="Simplified Arabic"/>
          <w:sz w:val="28"/>
          <w:szCs w:val="28"/>
        </w:rPr>
      </w:pPr>
      <w:r w:rsidRPr="00BD2306">
        <w:rPr>
          <w:rFonts w:ascii="Simplified Arabic" w:eastAsia="Times New Roman" w:hAnsi="Simplified Arabic" w:cs="Simplified Arabic"/>
          <w:sz w:val="28"/>
          <w:szCs w:val="28"/>
          <w:rtl/>
        </w:rPr>
        <w:t>2- لما كان البين من الحكم المطعون فيه أن عين النزاع . المؤجرة لوزارة الشئون الإجتماعية لإستعمالها مقراً للوحدة الإجتماعية - أنشئت و أعدت للسكن خلال عام 1959 ، فإن تحديد أجرتها يخضع للقانون رقم 168 لسنة 1961 المعمول به إبتداء من 5 نوفمبر سنة 1961 و الذى أضاف مادة جديدة إلى القانون 121 لسنة 1947 هى المادة 5 مكرراً "5" تقضى بأن " تخفض بنسبة 20 فى المائة الأجور الحالية للأماكن التى أنشئت بعد العمل بالقانون 55 لسنة 1958 المشار إليه و ذلك إبتداء من الأجرة المستحقة عن الشهر التالى لتاريخ العمل بهذا القانون ... " ، كما يخضع لقوانين التخفيض اللاحقة المنطبقة عليها إستناداً لنص المادة الرابعة عشر من القانون 121 لسنة 1947 لا يغير من ذلك صدور قرار وزير الإسكان بتاريخ 1965-5-13 بتطبيق القانون رقم 121 لسنة 1947 على هذه القرية إذ يقتصر نطاق هذا القرار على غير الأماكن المؤجرة للأماكن للأشخاص المعنوية العامة الواردة بالمادة الرابعة عشر و التى أخضعت لأحكام هذا القانون منذ بدء سريانه .</w:t>
      </w:r>
    </w:p>
    <w:p w:rsidR="00BD2306" w:rsidRPr="00BD2306" w:rsidRDefault="00BD2306" w:rsidP="00BD2306">
      <w:pPr>
        <w:spacing w:after="0" w:line="240" w:lineRule="auto"/>
        <w:jc w:val="lowKashida"/>
        <w:rPr>
          <w:rFonts w:ascii="Times New Roman" w:eastAsia="Times New Roman" w:hAnsi="Times New Roman" w:cs="Simplified Arabic"/>
          <w:sz w:val="28"/>
          <w:szCs w:val="28"/>
        </w:rPr>
      </w:pPr>
    </w:p>
    <w:p w:rsidR="00BD2306" w:rsidRPr="00BD2306" w:rsidRDefault="00BD2306" w:rsidP="00BD2306">
      <w:pPr>
        <w:spacing w:after="0" w:line="240" w:lineRule="auto"/>
        <w:jc w:val="lowKashida"/>
        <w:rPr>
          <w:rFonts w:ascii="Times New Roman" w:eastAsia="Times New Roman" w:hAnsi="Times New Roman" w:cs="Simplified Arabic"/>
          <w:sz w:val="28"/>
          <w:szCs w:val="28"/>
        </w:rPr>
      </w:pPr>
      <w:r w:rsidRPr="00BD2306">
        <w:rPr>
          <w:rFonts w:ascii="Simplified Arabic" w:eastAsia="Times New Roman" w:hAnsi="Simplified Arabic" w:cs="Simplified Arabic"/>
          <w:sz w:val="28"/>
          <w:szCs w:val="28"/>
          <w:rtl/>
        </w:rPr>
        <w:t>3- مؤدى نص المادة 371 من قانون المرافعات أنه يترتب على نقض الحكم إلغاء كافة الأحكام و الأعمال اللاحقة للحكم المنقوض و التى كانت أساساً لها ، و يتم هذا الإلغاء بقوة القانون . و لما كان الحكم محل الطعن القاضى بالإخلاء بتاريخ 1978-1-9 فى الإستئناف رقم 13 لسنة 5 ق المنصورة ، مترتب على الحكم المنقوض فى الطعن الآخر و هو الحكم القاضى الإعتداد بالأجرة المثبتة بالعقد الصادر بتاريخ 1977-11-8 فى الإستئناف رقم 93 لسنة 9 ق المنصورة فإنه يترتب عليه وجوب نقضه هو الآخر .</w:t>
      </w:r>
    </w:p>
    <w:p w:rsidR="00BD2306" w:rsidRPr="00BD2306" w:rsidRDefault="00BD2306" w:rsidP="00BD2306">
      <w:pPr>
        <w:spacing w:after="0" w:line="240" w:lineRule="auto"/>
        <w:jc w:val="lowKashida"/>
        <w:rPr>
          <w:rFonts w:ascii="Times New Roman" w:eastAsia="Times New Roman" w:hAnsi="Times New Roman" w:cs="Simplified Arabic"/>
          <w:sz w:val="28"/>
          <w:szCs w:val="28"/>
        </w:rPr>
      </w:pPr>
    </w:p>
    <w:p w:rsidR="00BD2306" w:rsidRPr="00BD2306" w:rsidRDefault="00BD2306" w:rsidP="00BD2306">
      <w:pPr>
        <w:spacing w:after="0" w:line="240" w:lineRule="auto"/>
        <w:jc w:val="center"/>
        <w:rPr>
          <w:rFonts w:ascii="Times New Roman" w:eastAsia="Times New Roman" w:hAnsi="Times New Roman" w:cs="Simplified Arabic"/>
          <w:sz w:val="24"/>
          <w:szCs w:val="24"/>
        </w:rPr>
      </w:pPr>
      <w:r w:rsidRPr="00BD2306">
        <w:rPr>
          <w:rFonts w:ascii="Simplified Arabic" w:eastAsia="Times New Roman" w:hAnsi="Simplified Arabic" w:cs="Simplified Arabic"/>
          <w:sz w:val="24"/>
          <w:szCs w:val="24"/>
          <w:rtl/>
        </w:rPr>
        <w:t>" سنة المكتب الفنى "  30 " رقم الصفحة -   422-  قاعدة رقم –   -  "</w:t>
      </w:r>
    </w:p>
    <w:p w:rsidR="00BD2306" w:rsidRPr="00BD2306" w:rsidRDefault="00BD2306" w:rsidP="00BD2306">
      <w:pPr>
        <w:spacing w:after="0" w:line="240" w:lineRule="auto"/>
        <w:jc w:val="lowKashida"/>
        <w:rPr>
          <w:rFonts w:ascii="Simplified Arabic" w:eastAsia="Times New Roman" w:hAnsi="Simplified Arabic" w:cs="Simplified Arabic"/>
          <w:sz w:val="28"/>
          <w:szCs w:val="28"/>
        </w:rPr>
      </w:pPr>
    </w:p>
    <w:p w:rsidR="00BD2306" w:rsidRPr="00BD2306" w:rsidRDefault="00BD2306" w:rsidP="00BD2306">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4E7"/>
    <w:rsid w:val="0003272B"/>
    <w:rsid w:val="006173AA"/>
    <w:rsid w:val="007C24E7"/>
    <w:rsid w:val="00BD23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90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2020-06-08T09:39:00Z</dcterms:created>
  <dcterms:modified xsi:type="dcterms:W3CDTF">2020-06-08T09:40:00Z</dcterms:modified>
</cp:coreProperties>
</file>