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835" w:rsidRPr="00241835" w:rsidRDefault="00241835" w:rsidP="00241835">
      <w:pPr>
        <w:spacing w:after="0" w:line="240" w:lineRule="auto"/>
        <w:jc w:val="center"/>
        <w:rPr>
          <w:rFonts w:ascii="Times New Roman" w:eastAsia="Times New Roman" w:hAnsi="Times New Roman" w:cs="PT Bold Heading"/>
          <w:b/>
          <w:bCs/>
          <w:color w:val="008000"/>
          <w:sz w:val="32"/>
          <w:szCs w:val="32"/>
          <w:lang w:eastAsia="ar-SA"/>
        </w:rPr>
      </w:pPr>
      <w:r w:rsidRPr="00241835">
        <w:rPr>
          <w:rFonts w:ascii="Times New Roman" w:eastAsia="Times New Roman" w:hAnsi="Times New Roman" w:cs="PT Bold Heading" w:hint="cs"/>
          <w:b/>
          <w:bCs/>
          <w:color w:val="008000"/>
          <w:sz w:val="32"/>
          <w:szCs w:val="32"/>
          <w:rtl/>
          <w:lang w:eastAsia="ar-SA"/>
        </w:rPr>
        <w:t xml:space="preserve">الطعن رقم 2564 لسنة 52 ق </w:t>
      </w:r>
      <w:r w:rsidRPr="00241835">
        <w:rPr>
          <w:rFonts w:ascii="Times New Roman" w:eastAsia="Times New Roman" w:hAnsi="Times New Roman" w:cs="Times New Roman" w:hint="cs"/>
          <w:b/>
          <w:bCs/>
          <w:color w:val="008000"/>
          <w:sz w:val="32"/>
          <w:szCs w:val="32"/>
          <w:rtl/>
          <w:lang w:eastAsia="ar-SA"/>
        </w:rPr>
        <w:t>-</w:t>
      </w:r>
      <w:r w:rsidRPr="00241835">
        <w:rPr>
          <w:rFonts w:ascii="Times New Roman" w:eastAsia="Times New Roman" w:hAnsi="Times New Roman" w:cs="PT Bold Heading" w:hint="cs"/>
          <w:b/>
          <w:bCs/>
          <w:color w:val="008000"/>
          <w:sz w:val="32"/>
          <w:szCs w:val="32"/>
          <w:rtl/>
          <w:lang w:eastAsia="ar-SA"/>
        </w:rPr>
        <w:t xml:space="preserve"> جلسة 26 -6-1979</w:t>
      </w:r>
    </w:p>
    <w:p w:rsidR="00241835" w:rsidRPr="00241835" w:rsidRDefault="00241835" w:rsidP="00241835">
      <w:pPr>
        <w:spacing w:after="0" w:line="240" w:lineRule="auto"/>
        <w:jc w:val="center"/>
        <w:rPr>
          <w:rFonts w:ascii="Times New Roman" w:eastAsia="Times New Roman" w:hAnsi="Times New Roman" w:cs="PT Bold Heading"/>
          <w:b/>
          <w:bCs/>
          <w:color w:val="008000"/>
          <w:sz w:val="32"/>
          <w:szCs w:val="32"/>
          <w:lang w:eastAsia="ar-SA"/>
        </w:rPr>
      </w:pPr>
      <w:r w:rsidRPr="00241835">
        <w:rPr>
          <w:rFonts w:ascii="Times New Roman" w:eastAsia="Times New Roman" w:hAnsi="Times New Roman" w:cs="PT Bold Heading" w:hint="cs"/>
          <w:b/>
          <w:bCs/>
          <w:color w:val="008000"/>
          <w:sz w:val="32"/>
          <w:szCs w:val="32"/>
          <w:rtl/>
          <w:lang w:eastAsia="ar-SA"/>
        </w:rPr>
        <w:t>الموضوع ،  و  الموجز :</w:t>
      </w:r>
    </w:p>
    <w:p w:rsidR="00241835" w:rsidRPr="00241835" w:rsidRDefault="00241835" w:rsidP="00241835">
      <w:pPr>
        <w:spacing w:after="0" w:line="240" w:lineRule="auto"/>
        <w:jc w:val="lowKashida"/>
        <w:rPr>
          <w:rFonts w:ascii="Times New Roman" w:eastAsia="Times New Roman" w:hAnsi="Times New Roman" w:cs="Simplified Arabic"/>
          <w:b/>
          <w:bCs/>
          <w:sz w:val="32"/>
          <w:szCs w:val="32"/>
        </w:rPr>
      </w:pPr>
    </w:p>
    <w:p w:rsidR="00241835" w:rsidRPr="00241835" w:rsidRDefault="00241835" w:rsidP="00241835">
      <w:pPr>
        <w:spacing w:after="0" w:line="240" w:lineRule="auto"/>
        <w:jc w:val="lowKashida"/>
        <w:rPr>
          <w:rFonts w:ascii="Simplified Arabic" w:eastAsia="Times New Roman" w:hAnsi="Simplified Arabic" w:cs="Simplified Arabic"/>
          <w:b/>
          <w:bCs/>
          <w:sz w:val="28"/>
          <w:szCs w:val="28"/>
        </w:rPr>
      </w:pPr>
      <w:r w:rsidRPr="00241835">
        <w:rPr>
          <w:rFonts w:ascii="Simplified Arabic" w:eastAsia="Times New Roman" w:hAnsi="Simplified Arabic" w:cs="Simplified Arabic"/>
          <w:b/>
          <w:bCs/>
          <w:sz w:val="28"/>
          <w:szCs w:val="28"/>
          <w:rtl/>
        </w:rPr>
        <w:t>نقض</w:t>
      </w:r>
    </w:p>
    <w:p w:rsidR="00241835" w:rsidRPr="00241835" w:rsidRDefault="00241835" w:rsidP="00241835">
      <w:pPr>
        <w:spacing w:after="0" w:line="240" w:lineRule="auto"/>
        <w:jc w:val="lowKashida"/>
        <w:rPr>
          <w:rFonts w:ascii="Simplified Arabic" w:eastAsia="Times New Roman" w:hAnsi="Simplified Arabic" w:cs="Simplified Arabic"/>
          <w:b/>
          <w:bCs/>
          <w:sz w:val="28"/>
          <w:szCs w:val="24"/>
          <w:rtl/>
        </w:rPr>
      </w:pPr>
    </w:p>
    <w:p w:rsidR="00241835" w:rsidRPr="00241835" w:rsidRDefault="00241835" w:rsidP="00241835">
      <w:pPr>
        <w:spacing w:after="0" w:line="240" w:lineRule="auto"/>
        <w:jc w:val="center"/>
        <w:rPr>
          <w:rFonts w:ascii="Times New Roman" w:eastAsia="Times New Roman" w:hAnsi="Times New Roman" w:cs="PT Bold Heading"/>
          <w:b/>
          <w:bCs/>
          <w:color w:val="008000"/>
          <w:sz w:val="32"/>
          <w:szCs w:val="32"/>
          <w:rtl/>
          <w:lang w:eastAsia="ar-SA"/>
        </w:rPr>
      </w:pPr>
      <w:r w:rsidRPr="00241835">
        <w:rPr>
          <w:rFonts w:ascii="Times New Roman" w:eastAsia="Times New Roman" w:hAnsi="Times New Roman" w:cs="PT Bold Heading" w:hint="cs"/>
          <w:b/>
          <w:bCs/>
          <w:color w:val="008000"/>
          <w:sz w:val="32"/>
          <w:szCs w:val="32"/>
          <w:rtl/>
          <w:lang w:eastAsia="ar-SA"/>
        </w:rPr>
        <w:t>القاعدة</w:t>
      </w:r>
    </w:p>
    <w:p w:rsidR="00241835" w:rsidRPr="00241835" w:rsidRDefault="00241835" w:rsidP="00241835">
      <w:pPr>
        <w:spacing w:after="0" w:line="240" w:lineRule="auto"/>
        <w:jc w:val="lowKashida"/>
        <w:rPr>
          <w:rFonts w:ascii="Times New Roman" w:eastAsia="Times New Roman" w:hAnsi="Times New Roman" w:cs="Simplified Arabic"/>
          <w:sz w:val="28"/>
          <w:szCs w:val="28"/>
        </w:rPr>
      </w:pPr>
      <w:r w:rsidRPr="00241835">
        <w:rPr>
          <w:rFonts w:ascii="Simplified Arabic" w:eastAsia="Times New Roman" w:hAnsi="Simplified Arabic" w:cs="Simplified Arabic"/>
          <w:sz w:val="28"/>
          <w:szCs w:val="28"/>
          <w:rtl/>
        </w:rPr>
        <w:t>1- لئن كانت الفقرة الثانية من المادة 269 من قانون المرافعات قد نصت فى عجزها على أنه يتحتم على المحكمة التى أحيلت إليها القضية أن تتبع حكم النقض فى المسألة القانونية التى فصلت فيها . إلا أنه لما كان المقصود بالمسألة القانونية فى هذا المجال - وعلى ما جرى به قضاء هذه المحكمة - أن تكون قد طرحت على محكمة النقض و أدلت برأيها فيها عن قصد و يصر فإكتسب حكمها قوة الشئ المحكوم فيه فى حدود المسألة أو المسائل التى تكون قد بتت فيها بحيث يمتنع على و لمحكمة الإحالة عند إعادة نظر الدعوى المساس بهذه الحجية و ما عدا ذلك فتعود الخصومة و يعود الخصوم إلى ما كانت و كانوا عليه قبل إصدار الحكم المنقوض و لمحكمة الإحالة بهذه المثابة أن تبنى حكمها على فهم جديد لواقع الدعوى تحصله حرة من جميع عناصرها .</w:t>
      </w:r>
    </w:p>
    <w:p w:rsidR="00241835" w:rsidRPr="00241835" w:rsidRDefault="00241835" w:rsidP="00241835">
      <w:pPr>
        <w:spacing w:after="0" w:line="240" w:lineRule="auto"/>
        <w:jc w:val="lowKashida"/>
        <w:rPr>
          <w:rFonts w:ascii="Times New Roman" w:eastAsia="Times New Roman" w:hAnsi="Times New Roman" w:cs="Simplified Arabic"/>
          <w:sz w:val="28"/>
          <w:szCs w:val="28"/>
        </w:rPr>
      </w:pPr>
    </w:p>
    <w:p w:rsidR="00241835" w:rsidRPr="00241835" w:rsidRDefault="00241835" w:rsidP="00241835">
      <w:pPr>
        <w:spacing w:after="0" w:line="240" w:lineRule="auto"/>
        <w:jc w:val="lowKashida"/>
        <w:rPr>
          <w:rFonts w:ascii="Times New Roman" w:eastAsia="Times New Roman" w:hAnsi="Times New Roman" w:cs="Simplified Arabic"/>
          <w:sz w:val="28"/>
          <w:szCs w:val="28"/>
        </w:rPr>
      </w:pPr>
      <w:r w:rsidRPr="00241835">
        <w:rPr>
          <w:rFonts w:ascii="Simplified Arabic" w:eastAsia="Times New Roman" w:hAnsi="Simplified Arabic" w:cs="Simplified Arabic"/>
          <w:sz w:val="28"/>
          <w:szCs w:val="28"/>
          <w:rtl/>
        </w:rPr>
        <w:t>2- نقض الحكم للقصور فى التسبيب - أياً كان وجه هذا القصور - لا يعدو أن يكون تعييباً للحكم المنقوض لإخلاله بقاعدة عامة فرضتها المادة 176 من قانون المرافعات التى أوجبت أن تشمل الأحكام الأسباب التى بنيت عليها و إلا كانت باطلة " بما لا يتصور معه أن يكون الحكم الناقض قد حسم مسألة قانونية حتى و لو تطرق لبيان أوجه القصور فى الحكم المنقوض . لما كان ذلك ، و كان الحكم النقض قد عاب على الحكم المنقوض قصوره فى التسبيب إذ لم يرد على دفاع الطاعن و المستندات التى قدمها و لم يحقق ما إذا كانت العين المؤجرة قد هلكت هلاكاً كلياً و أقيم مكانها عين أخرى هى التى إستأجرها الطاعن و كان هذا الذى أورده الحكم الناقض لا يتضمن فصلاً فى مسألة قانونية إكتسبت قوة الأمر المقضى بحيث تحول بين محكمة الإحالة و بين معاودة النظر فى دفاع الطاعن و مستنداته أو تحول بينها و بين الرد على هذا الدفاع بما يكفى لحمله مع تبيان مصدرها فى ذلك من الأوراق أو تحول بينها و بين دحض دلاله مستندات الطاعن بدلالة أقوى منها بل لا تحول بينها و بين أن تبنى حكمها على فهم جديد تحصله حرة من جميع عناصر الدعوى و هى فى ذلك لا يقيدها إلا التزامات بتسبيب حكمها خضوعاً لحكم المادة 176 من قانون المرافعات .</w:t>
      </w:r>
    </w:p>
    <w:p w:rsidR="00241835" w:rsidRPr="00241835" w:rsidRDefault="00241835" w:rsidP="00241835">
      <w:pPr>
        <w:spacing w:after="0" w:line="240" w:lineRule="auto"/>
        <w:jc w:val="lowKashida"/>
        <w:rPr>
          <w:rFonts w:ascii="Times New Roman" w:eastAsia="Times New Roman" w:hAnsi="Times New Roman" w:cs="Simplified Arabic"/>
          <w:sz w:val="28"/>
          <w:szCs w:val="28"/>
        </w:rPr>
      </w:pPr>
    </w:p>
    <w:p w:rsidR="00241835" w:rsidRPr="00241835" w:rsidRDefault="00241835" w:rsidP="00241835">
      <w:pPr>
        <w:spacing w:after="0" w:line="240" w:lineRule="auto"/>
        <w:jc w:val="lowKashida"/>
        <w:rPr>
          <w:rFonts w:ascii="Times New Roman" w:eastAsia="Times New Roman" w:hAnsi="Times New Roman" w:cs="Simplified Arabic"/>
          <w:sz w:val="28"/>
          <w:szCs w:val="28"/>
        </w:rPr>
      </w:pPr>
      <w:r w:rsidRPr="00241835">
        <w:rPr>
          <w:rFonts w:ascii="Simplified Arabic" w:eastAsia="Times New Roman" w:hAnsi="Simplified Arabic" w:cs="Simplified Arabic"/>
          <w:sz w:val="28"/>
          <w:szCs w:val="28"/>
          <w:rtl/>
        </w:rPr>
        <w:lastRenderedPageBreak/>
        <w:t>3- المقرر أن تقدير ما إذا كان الهلاك كلياً أو جزئياً - للعين المؤجرة - من مسائل الواقع التى تخضع لسلطان قاضى الموضوع و تقديره دون رقابة محكمة النقض متى أقام قضاءه على أسباب سائغة و كان ما إستخلصه الحكم بشأن ما تم من تعديل بالعين المؤجرة لا ينطبق عليه حالة الهلاك الكلى مستدلاً فى ذلك من أن قسمة المحل إلى حانوتين لا تنفى معه الفائدة المرجوة من المحل و هو الإنتفاع به على وجه دائم هو إستخلاص سائغ و لا يغير منه ما ورد بالمستندات التى قدمها الطاعن و المشار إليها بسببى النعى ذلك أنها و إن كانت تفيد إجراء تعديلات جوهرية بالعين بحيث تعد فى حكم المنشأة حديثاً إلا أنها لا تعنى هلاك العين المؤجرة هلاكاً كلياً و إقامة عين جديدة بدلاً منها . و من ثم يكون عقد المطعون ضدهم الستة الأول قائمة و يكون العقد الذى حرره المالك للطاعن فى تاريخ لاحق عقداً ثانياً باطلاً طبقاً للمادتين 3-16 ، 44 ق 52 لسنة 1969 و المادة 135 من القانون المدنى .</w:t>
      </w:r>
    </w:p>
    <w:p w:rsidR="00241835" w:rsidRPr="00241835" w:rsidRDefault="00241835" w:rsidP="00241835">
      <w:pPr>
        <w:spacing w:after="0" w:line="240" w:lineRule="auto"/>
        <w:jc w:val="lowKashida"/>
        <w:rPr>
          <w:rFonts w:ascii="Times New Roman" w:eastAsia="Times New Roman" w:hAnsi="Times New Roman" w:cs="Simplified Arabic"/>
          <w:sz w:val="28"/>
          <w:szCs w:val="28"/>
        </w:rPr>
      </w:pPr>
    </w:p>
    <w:p w:rsidR="00241835" w:rsidRPr="00241835" w:rsidRDefault="00241835" w:rsidP="00241835">
      <w:pPr>
        <w:spacing w:after="0" w:line="240" w:lineRule="auto"/>
        <w:jc w:val="center"/>
        <w:rPr>
          <w:rFonts w:ascii="Times New Roman" w:eastAsia="Times New Roman" w:hAnsi="Times New Roman" w:cs="Simplified Arabic"/>
          <w:sz w:val="24"/>
          <w:szCs w:val="24"/>
        </w:rPr>
      </w:pPr>
      <w:r w:rsidRPr="00241835">
        <w:rPr>
          <w:rFonts w:ascii="Simplified Arabic" w:eastAsia="Times New Roman" w:hAnsi="Simplified Arabic" w:cs="Simplified Arabic"/>
          <w:sz w:val="24"/>
          <w:szCs w:val="24"/>
          <w:rtl/>
        </w:rPr>
        <w:t>" سنة المكتب الفنى "  30 " رقم الصفحة -  671 -  قاعدة رقم –   -  "</w:t>
      </w:r>
    </w:p>
    <w:p w:rsidR="00241835" w:rsidRPr="00241835" w:rsidRDefault="00241835" w:rsidP="00241835">
      <w:pPr>
        <w:spacing w:after="0" w:line="240" w:lineRule="auto"/>
        <w:rPr>
          <w:rFonts w:ascii="Times New Roman" w:eastAsia="Times New Roman" w:hAnsi="Times New Roman" w:cs="Times New Roman"/>
          <w:sz w:val="24"/>
          <w:szCs w:val="24"/>
        </w:rPr>
      </w:pPr>
    </w:p>
    <w:p w:rsidR="006173AA" w:rsidRPr="00241835" w:rsidRDefault="006173AA">
      <w:bookmarkStart w:id="0" w:name="_GoBack"/>
      <w:bookmarkEnd w:id="0"/>
    </w:p>
    <w:sectPr w:rsidR="006173AA" w:rsidRPr="0024183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C40"/>
    <w:rsid w:val="0003272B"/>
    <w:rsid w:val="00241835"/>
    <w:rsid w:val="006173AA"/>
    <w:rsid w:val="00E51C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30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2020-06-08T09:43:00Z</dcterms:created>
  <dcterms:modified xsi:type="dcterms:W3CDTF">2020-06-08T09:43:00Z</dcterms:modified>
</cp:coreProperties>
</file>