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0F5" w:rsidRPr="008200F5" w:rsidRDefault="008200F5" w:rsidP="008200F5">
      <w:pPr>
        <w:spacing w:after="0" w:line="240" w:lineRule="auto"/>
        <w:jc w:val="center"/>
        <w:rPr>
          <w:rFonts w:ascii="Times New Roman" w:eastAsia="Times New Roman" w:hAnsi="Times New Roman" w:cs="PT Bold Heading"/>
          <w:b/>
          <w:bCs/>
          <w:color w:val="008000"/>
          <w:sz w:val="32"/>
          <w:szCs w:val="32"/>
          <w:lang w:eastAsia="ar-SA"/>
        </w:rPr>
      </w:pPr>
      <w:r w:rsidRPr="008200F5">
        <w:rPr>
          <w:rFonts w:ascii="Times New Roman" w:eastAsia="Times New Roman" w:hAnsi="Times New Roman" w:cs="PT Bold Heading" w:hint="cs"/>
          <w:b/>
          <w:bCs/>
          <w:color w:val="008000"/>
          <w:sz w:val="32"/>
          <w:szCs w:val="32"/>
          <w:rtl/>
          <w:lang w:eastAsia="ar-SA"/>
        </w:rPr>
        <w:t xml:space="preserve">الطعن رقم 1527 لسنة 48 ق </w:t>
      </w:r>
      <w:r w:rsidRPr="008200F5">
        <w:rPr>
          <w:rFonts w:ascii="Times New Roman" w:eastAsia="Times New Roman" w:hAnsi="Times New Roman" w:cs="Times New Roman" w:hint="cs"/>
          <w:b/>
          <w:bCs/>
          <w:color w:val="008000"/>
          <w:sz w:val="32"/>
          <w:szCs w:val="32"/>
          <w:rtl/>
          <w:lang w:eastAsia="ar-SA"/>
        </w:rPr>
        <w:t>-</w:t>
      </w:r>
      <w:r w:rsidRPr="008200F5">
        <w:rPr>
          <w:rFonts w:ascii="Times New Roman" w:eastAsia="Times New Roman" w:hAnsi="Times New Roman" w:cs="PT Bold Heading" w:hint="cs"/>
          <w:b/>
          <w:bCs/>
          <w:color w:val="008000"/>
          <w:sz w:val="32"/>
          <w:szCs w:val="32"/>
          <w:rtl/>
          <w:lang w:eastAsia="ar-SA"/>
        </w:rPr>
        <w:t xml:space="preserve"> جلسة 20-12-1979</w:t>
      </w:r>
    </w:p>
    <w:p w:rsidR="008200F5" w:rsidRPr="008200F5" w:rsidRDefault="008200F5" w:rsidP="008200F5">
      <w:pPr>
        <w:spacing w:after="0" w:line="240" w:lineRule="auto"/>
        <w:jc w:val="center"/>
        <w:rPr>
          <w:rFonts w:ascii="Times New Roman" w:eastAsia="Times New Roman" w:hAnsi="Times New Roman" w:cs="PT Bold Heading"/>
          <w:b/>
          <w:bCs/>
          <w:color w:val="008000"/>
          <w:sz w:val="32"/>
          <w:szCs w:val="32"/>
          <w:lang w:eastAsia="ar-SA"/>
        </w:rPr>
      </w:pPr>
      <w:r w:rsidRPr="008200F5">
        <w:rPr>
          <w:rFonts w:ascii="Times New Roman" w:eastAsia="Times New Roman" w:hAnsi="Times New Roman" w:cs="PT Bold Heading" w:hint="cs"/>
          <w:b/>
          <w:bCs/>
          <w:color w:val="008000"/>
          <w:sz w:val="32"/>
          <w:szCs w:val="32"/>
          <w:rtl/>
          <w:lang w:eastAsia="ar-SA"/>
        </w:rPr>
        <w:t>الموضوع ،  و  الموجز :</w:t>
      </w:r>
    </w:p>
    <w:p w:rsidR="008200F5" w:rsidRPr="008200F5" w:rsidRDefault="008200F5" w:rsidP="008200F5">
      <w:pPr>
        <w:spacing w:after="0" w:line="240" w:lineRule="auto"/>
        <w:jc w:val="lowKashida"/>
        <w:rPr>
          <w:rFonts w:ascii="Times New Roman" w:eastAsia="Times New Roman" w:hAnsi="Times New Roman" w:cs="Simplified Arabic"/>
          <w:b/>
          <w:bCs/>
          <w:sz w:val="32"/>
          <w:szCs w:val="32"/>
        </w:rPr>
      </w:pPr>
    </w:p>
    <w:p w:rsidR="008200F5" w:rsidRPr="008200F5" w:rsidRDefault="008200F5" w:rsidP="008200F5">
      <w:pPr>
        <w:spacing w:after="0" w:line="240" w:lineRule="auto"/>
        <w:jc w:val="lowKashida"/>
        <w:rPr>
          <w:rFonts w:ascii="Simplified Arabic" w:eastAsia="Times New Roman" w:hAnsi="Simplified Arabic" w:cs="Simplified Arabic"/>
          <w:b/>
          <w:bCs/>
          <w:sz w:val="28"/>
          <w:szCs w:val="24"/>
        </w:rPr>
      </w:pPr>
      <w:r w:rsidRPr="008200F5">
        <w:rPr>
          <w:rFonts w:ascii="Simplified Arabic" w:eastAsia="Times New Roman" w:hAnsi="Simplified Arabic" w:cs="Simplified Arabic"/>
          <w:b/>
          <w:bCs/>
          <w:sz w:val="32"/>
          <w:szCs w:val="32"/>
          <w:rtl/>
        </w:rPr>
        <w:t xml:space="preserve">أرث – بطلان – تأمينات إجتماعية </w:t>
      </w:r>
    </w:p>
    <w:p w:rsidR="008200F5" w:rsidRPr="008200F5" w:rsidRDefault="008200F5" w:rsidP="008200F5">
      <w:pPr>
        <w:spacing w:after="0" w:line="240" w:lineRule="auto"/>
        <w:jc w:val="lowKashida"/>
        <w:rPr>
          <w:rFonts w:ascii="Simplified Arabic" w:eastAsia="Times New Roman" w:hAnsi="Simplified Arabic" w:cs="Simplified Arabic"/>
          <w:b/>
          <w:bCs/>
          <w:sz w:val="28"/>
          <w:szCs w:val="24"/>
          <w:rtl/>
        </w:rPr>
      </w:pPr>
    </w:p>
    <w:p w:rsidR="008200F5" w:rsidRPr="008200F5" w:rsidRDefault="008200F5" w:rsidP="008200F5">
      <w:pPr>
        <w:spacing w:after="0" w:line="240" w:lineRule="auto"/>
        <w:jc w:val="lowKashida"/>
        <w:rPr>
          <w:rFonts w:ascii="Times New Roman" w:eastAsia="Times New Roman" w:hAnsi="Times New Roman" w:cs="Simplified Arabic"/>
          <w:b/>
          <w:bCs/>
          <w:sz w:val="28"/>
          <w:szCs w:val="24"/>
          <w:rtl/>
        </w:rPr>
      </w:pPr>
    </w:p>
    <w:p w:rsidR="008200F5" w:rsidRPr="008200F5" w:rsidRDefault="008200F5" w:rsidP="008200F5">
      <w:pPr>
        <w:spacing w:after="0" w:line="240" w:lineRule="auto"/>
        <w:jc w:val="center"/>
        <w:rPr>
          <w:rFonts w:ascii="Times New Roman" w:eastAsia="Times New Roman" w:hAnsi="Times New Roman" w:cs="PT Bold Heading"/>
          <w:b/>
          <w:bCs/>
          <w:color w:val="008000"/>
          <w:sz w:val="32"/>
          <w:szCs w:val="32"/>
          <w:lang w:eastAsia="ar-SA"/>
        </w:rPr>
      </w:pPr>
      <w:r w:rsidRPr="008200F5">
        <w:rPr>
          <w:rFonts w:ascii="Times New Roman" w:eastAsia="Times New Roman" w:hAnsi="Times New Roman" w:cs="PT Bold Heading" w:hint="cs"/>
          <w:b/>
          <w:bCs/>
          <w:color w:val="008000"/>
          <w:sz w:val="32"/>
          <w:szCs w:val="32"/>
          <w:rtl/>
          <w:lang w:eastAsia="ar-SA"/>
        </w:rPr>
        <w:t>القاعدة</w:t>
      </w:r>
    </w:p>
    <w:p w:rsidR="008200F5" w:rsidRPr="008200F5" w:rsidRDefault="008200F5" w:rsidP="008200F5">
      <w:pPr>
        <w:spacing w:after="0" w:line="240" w:lineRule="auto"/>
        <w:jc w:val="lowKashida"/>
        <w:rPr>
          <w:rFonts w:ascii="Times New Roman" w:eastAsia="Times New Roman" w:hAnsi="Times New Roman" w:cs="Simplified Arabic"/>
          <w:sz w:val="28"/>
          <w:szCs w:val="28"/>
        </w:rPr>
      </w:pPr>
      <w:r w:rsidRPr="008200F5">
        <w:rPr>
          <w:rFonts w:ascii="Simplified Arabic" w:eastAsia="Times New Roman" w:hAnsi="Simplified Arabic" w:cs="Simplified Arabic"/>
          <w:sz w:val="28"/>
          <w:szCs w:val="28"/>
          <w:rtl/>
        </w:rPr>
        <w:t xml:space="preserve">1- مفاد المادة 253 من قانون المرافعات من أن الطعن بالنقض يرفع بصحيفة تودع قلم كتاب محكمة النقض أو المحكمة التى أصدرت الحكم المطعون فيه ، أن أصل صحيفة الطعن المودعة هى المعتبرة قانوناً فى تحديد نطاق الطعن من حيث موضوعه و الخصومة فيه . أما إختلاف الصورة المعلنة  إلى الخصوم عن ذلك الأصل فهو عوار لا يمتد إلى أصل الصحيفة و  إنما قد يلحق إجراء الإعلان . و إذ كان الثابت من الإطلاع على أصل صحيفة الطعن إنها تضمنت إسم القاصر ... مع باقى القصر المشمولين بوصاية المطعون ضدها كما ورد إسمه أيضا فى أصل محضر إعلان الصحيفة و أن المطعون ضدها إستلمت الصورة عن نفسها و  بصفتها وصية على أولادها القصر ... ، ... ، ... و من ثم يكون القاصر ...  مختصماً فى هذا الطعن كما شمله إعلان الصحيفة . </w:t>
      </w:r>
    </w:p>
    <w:p w:rsidR="008200F5" w:rsidRPr="008200F5" w:rsidRDefault="008200F5" w:rsidP="008200F5">
      <w:pPr>
        <w:spacing w:after="0" w:line="240" w:lineRule="auto"/>
        <w:jc w:val="lowKashida"/>
        <w:rPr>
          <w:rFonts w:ascii="Times New Roman" w:eastAsia="Times New Roman" w:hAnsi="Times New Roman" w:cs="Simplified Arabic"/>
          <w:sz w:val="28"/>
          <w:szCs w:val="28"/>
        </w:rPr>
      </w:pPr>
    </w:p>
    <w:p w:rsidR="008200F5" w:rsidRPr="008200F5" w:rsidRDefault="008200F5" w:rsidP="008200F5">
      <w:pPr>
        <w:spacing w:after="0" w:line="240" w:lineRule="auto"/>
        <w:jc w:val="lowKashida"/>
        <w:rPr>
          <w:rFonts w:ascii="Times New Roman" w:eastAsia="Times New Roman" w:hAnsi="Times New Roman" w:cs="Simplified Arabic"/>
          <w:sz w:val="28"/>
          <w:szCs w:val="28"/>
        </w:rPr>
      </w:pPr>
      <w:r w:rsidRPr="008200F5">
        <w:rPr>
          <w:rFonts w:ascii="Simplified Arabic" w:eastAsia="Times New Roman" w:hAnsi="Simplified Arabic" w:cs="Simplified Arabic"/>
          <w:sz w:val="28"/>
          <w:szCs w:val="28"/>
          <w:rtl/>
        </w:rPr>
        <w:t xml:space="preserve"> </w:t>
      </w:r>
      <w:r w:rsidRPr="008200F5">
        <w:rPr>
          <w:rFonts w:ascii="Simplified Arabic" w:eastAsia="Times New Roman" w:hAnsi="Simplified Arabic" w:cs="Simplified Arabic" w:hint="cs"/>
          <w:sz w:val="28"/>
          <w:szCs w:val="28"/>
          <w:rtl/>
        </w:rPr>
        <w:t xml:space="preserve">2-إن ما شاب إجراء الإعلان من عوار لخلو الصورة المعلنة من إسم التاجر خلافاً للأصل هو غير ذى أثر . ذلك أن الفقرة الثانية من المادة 20 من قانون المرافعات تنص على أنه لا يحكم بالبطلان رغم النص عليه إذا ثبت تحقق الغاية من الإجراء . و إذ كان الثابت أن المطعون ضدها قد علمت بالطعن المقرر به فى الميعاد و قدمت عن نفسها و بصفتها وصية على أولادها القصر مذكرة فى المعياد القانونى بالرد على أسباب الطعن مما تتحقق به الغاية التى يبتغاها المشرع من إعلانها فلا يجوز معه التمسك بالبطلان الناشىء عن هذا العوار . </w:t>
      </w:r>
    </w:p>
    <w:p w:rsidR="008200F5" w:rsidRPr="008200F5" w:rsidRDefault="008200F5" w:rsidP="008200F5">
      <w:pPr>
        <w:spacing w:after="0" w:line="240" w:lineRule="auto"/>
        <w:jc w:val="lowKashida"/>
        <w:rPr>
          <w:rFonts w:ascii="Times New Roman" w:eastAsia="Times New Roman" w:hAnsi="Times New Roman" w:cs="Simplified Arabic"/>
          <w:sz w:val="28"/>
          <w:szCs w:val="28"/>
        </w:rPr>
      </w:pPr>
    </w:p>
    <w:p w:rsidR="008200F5" w:rsidRPr="008200F5" w:rsidRDefault="008200F5" w:rsidP="008200F5">
      <w:pPr>
        <w:spacing w:after="0" w:line="240" w:lineRule="auto"/>
        <w:jc w:val="lowKashida"/>
        <w:rPr>
          <w:rFonts w:ascii="Times New Roman" w:eastAsia="Times New Roman" w:hAnsi="Times New Roman" w:cs="Simplified Arabic"/>
          <w:sz w:val="28"/>
          <w:szCs w:val="28"/>
        </w:rPr>
      </w:pPr>
      <w:r w:rsidRPr="008200F5">
        <w:rPr>
          <w:rFonts w:ascii="Simplified Arabic" w:eastAsia="Times New Roman" w:hAnsi="Simplified Arabic" w:cs="Simplified Arabic"/>
          <w:sz w:val="28"/>
          <w:szCs w:val="28"/>
          <w:rtl/>
        </w:rPr>
        <w:t xml:space="preserve">3- مفاد نص المادة 41 من القانون 63 لسنة 1964 بشأن التأمينات الإجتماعية الذى وقع فى ظله الحادث محل التداعى أن تنفيذ الهيئة العامة للتأمينات الإجتماعية لإلتزامها المنصوص عليه فى الباب  الرابع فى تأمين إصابات العمل لا يخل بما يكون للمؤمن له - العامل أو ورثته - من حق قبل الشخص المسئول . </w:t>
      </w:r>
    </w:p>
    <w:p w:rsidR="008200F5" w:rsidRPr="008200F5" w:rsidRDefault="008200F5" w:rsidP="008200F5">
      <w:pPr>
        <w:spacing w:after="0" w:line="240" w:lineRule="auto"/>
        <w:jc w:val="lowKashida"/>
        <w:rPr>
          <w:rFonts w:ascii="Times New Roman" w:eastAsia="Times New Roman" w:hAnsi="Times New Roman" w:cs="Simplified Arabic"/>
          <w:sz w:val="28"/>
          <w:szCs w:val="28"/>
        </w:rPr>
      </w:pPr>
    </w:p>
    <w:p w:rsidR="008200F5" w:rsidRPr="008200F5" w:rsidRDefault="008200F5" w:rsidP="008200F5">
      <w:pPr>
        <w:spacing w:after="0" w:line="240" w:lineRule="auto"/>
        <w:jc w:val="lowKashida"/>
        <w:rPr>
          <w:rFonts w:ascii="Times New Roman" w:eastAsia="Times New Roman" w:hAnsi="Times New Roman" w:cs="Simplified Arabic"/>
          <w:sz w:val="28"/>
          <w:szCs w:val="28"/>
        </w:rPr>
      </w:pPr>
      <w:r w:rsidRPr="008200F5">
        <w:rPr>
          <w:rFonts w:ascii="Simplified Arabic" w:eastAsia="Times New Roman" w:hAnsi="Simplified Arabic" w:cs="Simplified Arabic"/>
          <w:sz w:val="28"/>
          <w:szCs w:val="28"/>
          <w:rtl/>
        </w:rPr>
        <w:lastRenderedPageBreak/>
        <w:t xml:space="preserve">4- تنص المادة 163 من القانون المدنى على أن كل خطأ سبب ضرراً للغير يلزم من إرتكبه بالتعويض . و تنص المادة 174 من ذلك القانون على أن يكون المتبوع مسئولاً عن الضرر الذى يحدثه تابعه بعمله غير المشروع من كان واقعاً منه فى حال تأدية وظيفتة أو بسببها . و من ثم تكون مسئولية المتبوع عن تابعة ليست مسئولية ذاتية و إنما هى فى حكم مسئولية الكفيل المتضامن كفالة ليس مصدرها العقد و إنما مصدرها القانون . و لا يجدى فى هذه الحالة التحدى بنص المادة 42 من القانون 63 لسنة 1964 التى لا تجيز للمصاب فيما يتعلق بإصابات العمل أن يتمسك ضد الهيئة بأحكام أى قانون آخر و لا تجيز له ذلك أيضاً بالنسبة لصاحب العمل إلا إذا كانت الإصابة قد نشأت عن خطأ جسيم من جانبه . ذلك أن مجال تطبيق هذه المادة هو عند بحث مسئولية رب العمل الذاتية . </w:t>
      </w:r>
    </w:p>
    <w:p w:rsidR="008200F5" w:rsidRPr="008200F5" w:rsidRDefault="008200F5" w:rsidP="008200F5">
      <w:pPr>
        <w:spacing w:after="0" w:line="240" w:lineRule="auto"/>
        <w:jc w:val="lowKashida"/>
        <w:rPr>
          <w:rFonts w:ascii="Times New Roman" w:eastAsia="Times New Roman" w:hAnsi="Times New Roman" w:cs="Simplified Arabic"/>
          <w:sz w:val="28"/>
          <w:szCs w:val="28"/>
        </w:rPr>
      </w:pPr>
    </w:p>
    <w:p w:rsidR="008200F5" w:rsidRPr="008200F5" w:rsidRDefault="008200F5" w:rsidP="008200F5">
      <w:pPr>
        <w:spacing w:after="0" w:line="240" w:lineRule="auto"/>
        <w:jc w:val="lowKashida"/>
        <w:rPr>
          <w:rFonts w:ascii="Times New Roman" w:eastAsia="Times New Roman" w:hAnsi="Times New Roman" w:cs="Simplified Arabic"/>
          <w:sz w:val="28"/>
          <w:szCs w:val="28"/>
        </w:rPr>
      </w:pPr>
      <w:r w:rsidRPr="008200F5">
        <w:rPr>
          <w:rFonts w:ascii="Simplified Arabic" w:eastAsia="Times New Roman" w:hAnsi="Simplified Arabic" w:cs="Simplified Arabic"/>
          <w:sz w:val="28"/>
          <w:szCs w:val="28"/>
          <w:rtl/>
        </w:rPr>
        <w:t xml:space="preserve">5- من المقرر فى قضاء هذه المحكمة أن تكييف الفعل المؤسس عليه طلب التعويض بأنه خطأ أو نفى هذا الوصف عنه هو من المسائل التى يخضع قضاء محكمة الموضوع فيها لرقابة محكمة النقض . إلا أن إستخلاص الخطأ الموجب للمسئولية و علاقة السببية بينه و بين الضرر هو مما يدخل فى حدود السلطة التقديرية لمحكمة الموضوع ما دام هذا الإستخلاص سائغاً و مستمداً من عناصر تؤدى إليه من وقائع الدعوى . </w:t>
      </w:r>
    </w:p>
    <w:p w:rsidR="008200F5" w:rsidRPr="008200F5" w:rsidRDefault="008200F5" w:rsidP="008200F5">
      <w:pPr>
        <w:spacing w:after="0" w:line="240" w:lineRule="auto"/>
        <w:jc w:val="lowKashida"/>
        <w:rPr>
          <w:rFonts w:ascii="Times New Roman" w:eastAsia="Times New Roman" w:hAnsi="Times New Roman" w:cs="Simplified Arabic"/>
          <w:sz w:val="28"/>
          <w:szCs w:val="28"/>
        </w:rPr>
      </w:pPr>
    </w:p>
    <w:p w:rsidR="008200F5" w:rsidRPr="008200F5" w:rsidRDefault="008200F5" w:rsidP="008200F5">
      <w:pPr>
        <w:spacing w:after="0" w:line="240" w:lineRule="auto"/>
        <w:jc w:val="lowKashida"/>
        <w:rPr>
          <w:rFonts w:ascii="Times New Roman" w:eastAsia="Times New Roman" w:hAnsi="Times New Roman" w:cs="Simplified Arabic"/>
          <w:sz w:val="28"/>
          <w:szCs w:val="28"/>
        </w:rPr>
      </w:pPr>
      <w:r w:rsidRPr="008200F5">
        <w:rPr>
          <w:rFonts w:ascii="Simplified Arabic" w:eastAsia="Times New Roman" w:hAnsi="Simplified Arabic" w:cs="Simplified Arabic"/>
          <w:sz w:val="28"/>
          <w:szCs w:val="28"/>
          <w:rtl/>
        </w:rPr>
        <w:t xml:space="preserve">6- إن ما تؤديه الهبئة العامة للتأمينات الإجتماعية  للعامل - أو ورثته - بسبب إصابات العمل  إنما هو فى مقابل ما تستأديه هذه الهيئة من إشتراكات تأمينية بينما يتقاضى حقه فى التعويض قبل المسئول عن الفعل الضار بسبب الخطأ الذى إرتكبه المسئول و ليس ثمة ما يمنع من الجمع بين الحقين . </w:t>
      </w:r>
    </w:p>
    <w:p w:rsidR="008200F5" w:rsidRPr="008200F5" w:rsidRDefault="008200F5" w:rsidP="008200F5">
      <w:pPr>
        <w:spacing w:after="0" w:line="240" w:lineRule="auto"/>
        <w:jc w:val="lowKashida"/>
        <w:rPr>
          <w:rFonts w:ascii="Times New Roman" w:eastAsia="Times New Roman" w:hAnsi="Times New Roman" w:cs="Simplified Arabic"/>
          <w:sz w:val="28"/>
          <w:szCs w:val="28"/>
        </w:rPr>
      </w:pPr>
    </w:p>
    <w:p w:rsidR="008200F5" w:rsidRPr="008200F5" w:rsidRDefault="008200F5" w:rsidP="008200F5">
      <w:pPr>
        <w:spacing w:after="0" w:line="240" w:lineRule="auto"/>
        <w:jc w:val="lowKashida"/>
        <w:rPr>
          <w:rFonts w:ascii="Times New Roman" w:eastAsia="Times New Roman" w:hAnsi="Times New Roman" w:cs="Simplified Arabic"/>
          <w:sz w:val="28"/>
          <w:szCs w:val="28"/>
        </w:rPr>
      </w:pPr>
      <w:r w:rsidRPr="008200F5">
        <w:rPr>
          <w:rFonts w:ascii="Simplified Arabic" w:eastAsia="Times New Roman" w:hAnsi="Simplified Arabic" w:cs="Simplified Arabic"/>
          <w:sz w:val="28"/>
          <w:szCs w:val="28"/>
          <w:rtl/>
        </w:rPr>
        <w:t xml:space="preserve">7- من المقرر فى قضاء هذه المحكمة أنه يجوز للنيابة كما يجوز للمحكمة من تلقاء نفسها أن تثير فى الطعن ما تعلق بالنظام العام شريطة  أن يكون وارداً على الجزء المطعون عليه من الحكم . </w:t>
      </w:r>
    </w:p>
    <w:p w:rsidR="008200F5" w:rsidRPr="008200F5" w:rsidRDefault="008200F5" w:rsidP="008200F5">
      <w:pPr>
        <w:spacing w:after="0" w:line="240" w:lineRule="auto"/>
        <w:jc w:val="lowKashida"/>
        <w:rPr>
          <w:rFonts w:ascii="Times New Roman" w:eastAsia="Times New Roman" w:hAnsi="Times New Roman" w:cs="Simplified Arabic"/>
          <w:sz w:val="28"/>
          <w:szCs w:val="28"/>
        </w:rPr>
      </w:pPr>
    </w:p>
    <w:p w:rsidR="008200F5" w:rsidRPr="008200F5" w:rsidRDefault="008200F5" w:rsidP="008200F5">
      <w:pPr>
        <w:spacing w:after="0" w:line="240" w:lineRule="auto"/>
        <w:jc w:val="lowKashida"/>
        <w:rPr>
          <w:rFonts w:ascii="Times New Roman" w:eastAsia="Times New Roman" w:hAnsi="Times New Roman" w:cs="Simplified Arabic"/>
          <w:sz w:val="28"/>
          <w:szCs w:val="28"/>
        </w:rPr>
      </w:pPr>
      <w:r w:rsidRPr="008200F5">
        <w:rPr>
          <w:rFonts w:ascii="Simplified Arabic" w:eastAsia="Times New Roman" w:hAnsi="Simplified Arabic" w:cs="Simplified Arabic"/>
          <w:sz w:val="28"/>
          <w:szCs w:val="28"/>
          <w:rtl/>
        </w:rPr>
        <w:t xml:space="preserve">8- قواعد التوريث و أحكامه المعتبرة شرعاً بما فى ذلك تحديد أنصبة الورثة هى - على ما جرى به قضاء هذه المحكمة - من الأمور المتعلقة بالنظام العام . و إذ كان الطعن الماثل يشمل ما قضى به الحكم المطعون فيه من تعويض موروث و توزيع قيمته بين المحكوم لهم . و كان المحكوم لهم أما و أخوة للمورث و لا تتساوى أنصبتهم الشرعية فى الميراث . فإن الحكم المطعون فيه إذ ساوى بينهم فى الأنصبة فى مقدار التعويض الموروث يكون قد خالف القانون فى أمر متعلق بالنظام العام . </w:t>
      </w:r>
    </w:p>
    <w:p w:rsidR="008200F5" w:rsidRPr="008200F5" w:rsidRDefault="008200F5" w:rsidP="008200F5">
      <w:pPr>
        <w:spacing w:after="0" w:line="240" w:lineRule="auto"/>
        <w:jc w:val="lowKashida"/>
        <w:rPr>
          <w:rFonts w:ascii="Times New Roman" w:eastAsia="Times New Roman" w:hAnsi="Times New Roman" w:cs="Simplified Arabic"/>
          <w:sz w:val="28"/>
          <w:szCs w:val="28"/>
        </w:rPr>
      </w:pPr>
    </w:p>
    <w:p w:rsidR="008200F5" w:rsidRPr="008200F5" w:rsidRDefault="008200F5" w:rsidP="008200F5">
      <w:pPr>
        <w:spacing w:after="0" w:line="240" w:lineRule="auto"/>
        <w:jc w:val="center"/>
        <w:rPr>
          <w:rFonts w:ascii="Times New Roman" w:eastAsia="Times New Roman" w:hAnsi="Times New Roman" w:cs="Simplified Arabic"/>
          <w:sz w:val="24"/>
          <w:szCs w:val="24"/>
        </w:rPr>
      </w:pPr>
      <w:r w:rsidRPr="008200F5">
        <w:rPr>
          <w:rFonts w:ascii="Simplified Arabic" w:eastAsia="Times New Roman" w:hAnsi="Simplified Arabic" w:cs="Simplified Arabic"/>
          <w:sz w:val="24"/>
          <w:szCs w:val="24"/>
          <w:rtl/>
        </w:rPr>
        <w:t>" سنة المكتب الفنى "  30 " رقم الصفحة -  337 -  قاعدة رقم –   -  "</w:t>
      </w:r>
    </w:p>
    <w:p w:rsidR="008200F5" w:rsidRPr="008200F5" w:rsidRDefault="008200F5" w:rsidP="008200F5">
      <w:pPr>
        <w:spacing w:after="0" w:line="240" w:lineRule="auto"/>
        <w:rPr>
          <w:rFonts w:ascii="Times New Roman" w:eastAsia="Times New Roman" w:hAnsi="Times New Roman" w:cs="Times New Roman"/>
          <w:sz w:val="24"/>
          <w:szCs w:val="24"/>
        </w:rPr>
      </w:pPr>
    </w:p>
    <w:p w:rsidR="006173AA" w:rsidRPr="008200F5" w:rsidRDefault="006173AA">
      <w:bookmarkStart w:id="0" w:name="_GoBack"/>
      <w:bookmarkEnd w:id="0"/>
    </w:p>
    <w:sectPr w:rsidR="006173AA" w:rsidRPr="008200F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08"/>
    <w:rsid w:val="0003272B"/>
    <w:rsid w:val="006173AA"/>
    <w:rsid w:val="008200F5"/>
    <w:rsid w:val="00B12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2020-06-08T10:07:00Z</dcterms:created>
  <dcterms:modified xsi:type="dcterms:W3CDTF">2020-06-08T10:07:00Z</dcterms:modified>
</cp:coreProperties>
</file>