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F27" w:rsidRPr="00735F27" w:rsidRDefault="00735F27" w:rsidP="00735F27">
      <w:pPr>
        <w:spacing w:after="0" w:line="240" w:lineRule="auto"/>
        <w:jc w:val="center"/>
        <w:rPr>
          <w:rFonts w:ascii="Times New Roman" w:eastAsia="Times New Roman" w:hAnsi="Times New Roman" w:cs="PT Bold Heading"/>
          <w:b/>
          <w:bCs/>
          <w:color w:val="008000"/>
          <w:sz w:val="32"/>
          <w:szCs w:val="32"/>
          <w:lang w:eastAsia="ar-SA"/>
        </w:rPr>
      </w:pPr>
      <w:r w:rsidRPr="00735F27">
        <w:rPr>
          <w:rFonts w:ascii="Times New Roman" w:eastAsia="Times New Roman" w:hAnsi="Times New Roman" w:cs="PT Bold Heading" w:hint="cs"/>
          <w:b/>
          <w:bCs/>
          <w:color w:val="008000"/>
          <w:sz w:val="32"/>
          <w:szCs w:val="32"/>
          <w:rtl/>
          <w:lang w:eastAsia="ar-SA"/>
        </w:rPr>
        <w:t xml:space="preserve">الطعن رقم 1412 لسنة 47 ق </w:t>
      </w:r>
      <w:r w:rsidRPr="00735F27">
        <w:rPr>
          <w:rFonts w:ascii="Times New Roman" w:eastAsia="Times New Roman" w:hAnsi="Times New Roman" w:cs="Times New Roman" w:hint="cs"/>
          <w:b/>
          <w:bCs/>
          <w:color w:val="008000"/>
          <w:sz w:val="32"/>
          <w:szCs w:val="32"/>
          <w:rtl/>
          <w:lang w:eastAsia="ar-SA"/>
        </w:rPr>
        <w:t>-</w:t>
      </w:r>
      <w:r w:rsidRPr="00735F27">
        <w:rPr>
          <w:rFonts w:ascii="Times New Roman" w:eastAsia="Times New Roman" w:hAnsi="Times New Roman" w:cs="PT Bold Heading" w:hint="cs"/>
          <w:b/>
          <w:bCs/>
          <w:color w:val="008000"/>
          <w:sz w:val="32"/>
          <w:szCs w:val="32"/>
          <w:rtl/>
          <w:lang w:eastAsia="ar-SA"/>
        </w:rPr>
        <w:t xml:space="preserve"> جلسة 29-12-1979</w:t>
      </w:r>
    </w:p>
    <w:p w:rsidR="00735F27" w:rsidRPr="00735F27" w:rsidRDefault="00735F27" w:rsidP="00735F27">
      <w:pPr>
        <w:spacing w:after="0" w:line="240" w:lineRule="auto"/>
        <w:jc w:val="center"/>
        <w:rPr>
          <w:rFonts w:ascii="Times New Roman" w:eastAsia="Times New Roman" w:hAnsi="Times New Roman" w:cs="PT Bold Heading"/>
          <w:b/>
          <w:bCs/>
          <w:color w:val="008000"/>
          <w:sz w:val="32"/>
          <w:szCs w:val="32"/>
          <w:lang w:eastAsia="ar-SA"/>
        </w:rPr>
      </w:pPr>
      <w:r w:rsidRPr="00735F27">
        <w:rPr>
          <w:rFonts w:ascii="Times New Roman" w:eastAsia="Times New Roman" w:hAnsi="Times New Roman" w:cs="PT Bold Heading" w:hint="cs"/>
          <w:b/>
          <w:bCs/>
          <w:color w:val="008000"/>
          <w:sz w:val="32"/>
          <w:szCs w:val="32"/>
          <w:rtl/>
          <w:lang w:eastAsia="ar-SA"/>
        </w:rPr>
        <w:t>الموضوع ،  و  الموجز :</w:t>
      </w:r>
    </w:p>
    <w:p w:rsidR="00735F27" w:rsidRPr="00735F27" w:rsidRDefault="00735F27" w:rsidP="00735F27">
      <w:pPr>
        <w:spacing w:after="0" w:line="240" w:lineRule="auto"/>
        <w:jc w:val="lowKashida"/>
        <w:rPr>
          <w:rFonts w:ascii="Times New Roman" w:eastAsia="Times New Roman" w:hAnsi="Times New Roman" w:cs="Simplified Arabic"/>
          <w:b/>
          <w:bCs/>
          <w:sz w:val="32"/>
          <w:szCs w:val="32"/>
        </w:rPr>
      </w:pPr>
    </w:p>
    <w:p w:rsidR="00735F27" w:rsidRPr="00735F27" w:rsidRDefault="00735F27" w:rsidP="00735F27">
      <w:pPr>
        <w:spacing w:after="0" w:line="240" w:lineRule="auto"/>
        <w:jc w:val="lowKashida"/>
        <w:rPr>
          <w:rFonts w:ascii="Times New Roman" w:eastAsia="Times New Roman" w:hAnsi="Times New Roman" w:cs="Simplified Arabic"/>
          <w:b/>
          <w:bCs/>
          <w:sz w:val="28"/>
          <w:szCs w:val="28"/>
        </w:rPr>
      </w:pPr>
      <w:r w:rsidRPr="00735F27">
        <w:rPr>
          <w:rFonts w:ascii="Simplified Arabic" w:eastAsia="Times New Roman" w:hAnsi="Simplified Arabic" w:cs="Simplified Arabic"/>
          <w:b/>
          <w:bCs/>
          <w:sz w:val="32"/>
          <w:szCs w:val="32"/>
          <w:rtl/>
        </w:rPr>
        <w:t xml:space="preserve">(1) </w:t>
      </w:r>
      <w:r w:rsidRPr="00735F27">
        <w:rPr>
          <w:rFonts w:ascii="Simplified Arabic" w:eastAsia="Times New Roman" w:hAnsi="Simplified Arabic" w:cs="Simplified Arabic"/>
          <w:b/>
          <w:bCs/>
          <w:sz w:val="28"/>
          <w:szCs w:val="24"/>
          <w:rtl/>
        </w:rPr>
        <w:t xml:space="preserve">   </w:t>
      </w:r>
      <w:r w:rsidRPr="00735F27">
        <w:rPr>
          <w:rFonts w:ascii="Simplified Arabic" w:eastAsia="Times New Roman" w:hAnsi="Simplified Arabic" w:cs="Simplified Arabic"/>
          <w:b/>
          <w:bCs/>
          <w:sz w:val="28"/>
          <w:szCs w:val="28"/>
          <w:rtl/>
        </w:rPr>
        <w:t xml:space="preserve"> تأمينات إجتماعية</w:t>
      </w:r>
    </w:p>
    <w:p w:rsidR="00735F27" w:rsidRPr="00735F27" w:rsidRDefault="00735F27" w:rsidP="00735F27">
      <w:pPr>
        <w:spacing w:after="0" w:line="240" w:lineRule="auto"/>
        <w:jc w:val="lowKashida"/>
        <w:rPr>
          <w:rFonts w:ascii="Times New Roman" w:eastAsia="Times New Roman" w:hAnsi="Times New Roman" w:cs="Simplified Arabic"/>
          <w:sz w:val="28"/>
          <w:szCs w:val="28"/>
        </w:rPr>
      </w:pPr>
      <w:r w:rsidRPr="00735F27">
        <w:rPr>
          <w:rFonts w:ascii="Times New Roman" w:eastAsia="Times New Roman" w:hAnsi="Times New Roman" w:cs="Simplified Arabic"/>
          <w:sz w:val="28"/>
          <w:szCs w:val="28"/>
        </w:rPr>
        <w:t>-</w:t>
      </w:r>
      <w:r w:rsidRPr="00735F27">
        <w:rPr>
          <w:rFonts w:ascii="Simplified Arabic" w:eastAsia="Times New Roman" w:hAnsi="Simplified Arabic" w:cs="Simplified Arabic"/>
          <w:sz w:val="28"/>
          <w:szCs w:val="28"/>
          <w:rtl/>
        </w:rPr>
        <w:t xml:space="preserve"> حق العامل في قيمة الزيادة من أنظمة المعاشات أو المكافآت أو الادخار الأفضل قبل رب العمل هو حق ناشيء عن عقد العمل سقوط الدعوي به بانقضاء سنة من وقت إنتهاء </w:t>
      </w:r>
      <w:proofErr w:type="gramStart"/>
      <w:r w:rsidRPr="00735F27">
        <w:rPr>
          <w:rFonts w:ascii="Simplified Arabic" w:eastAsia="Times New Roman" w:hAnsi="Simplified Arabic" w:cs="Simplified Arabic"/>
          <w:sz w:val="28"/>
          <w:szCs w:val="28"/>
          <w:rtl/>
        </w:rPr>
        <w:t>العقد .</w:t>
      </w:r>
      <w:proofErr w:type="gramEnd"/>
      <w:r w:rsidRPr="00735F27">
        <w:rPr>
          <w:rFonts w:ascii="Simplified Arabic" w:eastAsia="Times New Roman" w:hAnsi="Simplified Arabic" w:cs="Simplified Arabic"/>
          <w:sz w:val="28"/>
          <w:szCs w:val="28"/>
          <w:rtl/>
        </w:rPr>
        <w:t xml:space="preserve"> م 698 مدني</w:t>
      </w:r>
    </w:p>
    <w:p w:rsidR="00735F27" w:rsidRPr="00735F27" w:rsidRDefault="00735F27" w:rsidP="00735F27">
      <w:pPr>
        <w:spacing w:after="0" w:line="240" w:lineRule="auto"/>
        <w:jc w:val="lowKashida"/>
        <w:rPr>
          <w:rFonts w:ascii="Times New Roman" w:eastAsia="Times New Roman" w:hAnsi="Times New Roman" w:cs="Simplified Arabic"/>
          <w:b/>
          <w:bCs/>
          <w:sz w:val="28"/>
          <w:szCs w:val="24"/>
        </w:rPr>
      </w:pPr>
    </w:p>
    <w:p w:rsidR="00735F27" w:rsidRPr="00735F27" w:rsidRDefault="00735F27" w:rsidP="00735F27">
      <w:pPr>
        <w:spacing w:after="0" w:line="240" w:lineRule="auto"/>
        <w:jc w:val="lowKashida"/>
        <w:rPr>
          <w:rFonts w:ascii="Times New Roman" w:eastAsia="Times New Roman" w:hAnsi="Times New Roman" w:cs="Simplified Arabic"/>
          <w:b/>
          <w:bCs/>
          <w:sz w:val="28"/>
          <w:szCs w:val="24"/>
        </w:rPr>
      </w:pPr>
      <w:r w:rsidRPr="00735F27">
        <w:rPr>
          <w:rFonts w:ascii="Simplified Arabic" w:eastAsia="Times New Roman" w:hAnsi="Simplified Arabic" w:cs="Simplified Arabic"/>
          <w:b/>
          <w:bCs/>
          <w:sz w:val="32"/>
          <w:szCs w:val="32"/>
          <w:rtl/>
        </w:rPr>
        <w:t xml:space="preserve">(2) </w:t>
      </w:r>
      <w:r w:rsidRPr="00735F27">
        <w:rPr>
          <w:rFonts w:ascii="Simplified Arabic" w:eastAsia="Times New Roman" w:hAnsi="Simplified Arabic" w:cs="Simplified Arabic"/>
          <w:b/>
          <w:bCs/>
          <w:sz w:val="28"/>
          <w:szCs w:val="24"/>
          <w:rtl/>
        </w:rPr>
        <w:t xml:space="preserve">   </w:t>
      </w:r>
      <w:r w:rsidRPr="00735F27">
        <w:rPr>
          <w:rFonts w:ascii="Simplified Arabic" w:eastAsia="Times New Roman" w:hAnsi="Simplified Arabic" w:cs="Simplified Arabic"/>
          <w:b/>
          <w:bCs/>
          <w:sz w:val="28"/>
          <w:szCs w:val="28"/>
          <w:rtl/>
        </w:rPr>
        <w:t>تقادم</w:t>
      </w:r>
      <w:r w:rsidRPr="00735F27">
        <w:rPr>
          <w:rFonts w:ascii="Simplified Arabic" w:eastAsia="Times New Roman" w:hAnsi="Simplified Arabic" w:cs="Simplified Arabic"/>
          <w:b/>
          <w:bCs/>
          <w:sz w:val="28"/>
          <w:szCs w:val="24"/>
          <w:rtl/>
        </w:rPr>
        <w:t xml:space="preserve"> </w:t>
      </w:r>
    </w:p>
    <w:p w:rsidR="00735F27" w:rsidRPr="00735F27" w:rsidRDefault="00735F27" w:rsidP="00735F27">
      <w:pPr>
        <w:spacing w:after="0" w:line="240" w:lineRule="auto"/>
        <w:jc w:val="lowKashida"/>
        <w:rPr>
          <w:rFonts w:ascii="Times New Roman" w:eastAsia="Times New Roman" w:hAnsi="Times New Roman" w:cs="Simplified Arabic"/>
          <w:sz w:val="28"/>
          <w:szCs w:val="28"/>
        </w:rPr>
      </w:pPr>
      <w:r w:rsidRPr="00735F27">
        <w:rPr>
          <w:rFonts w:ascii="Times New Roman" w:eastAsia="Times New Roman" w:hAnsi="Times New Roman" w:cs="Simplified Arabic"/>
          <w:sz w:val="28"/>
          <w:szCs w:val="28"/>
        </w:rPr>
        <w:t>-</w:t>
      </w:r>
      <w:r w:rsidRPr="00735F27">
        <w:rPr>
          <w:rFonts w:ascii="Simplified Arabic" w:eastAsia="Times New Roman" w:hAnsi="Simplified Arabic" w:cs="Simplified Arabic"/>
          <w:sz w:val="28"/>
          <w:szCs w:val="28"/>
          <w:rtl/>
        </w:rPr>
        <w:t xml:space="preserve"> تقدير قيام المانع من المطالبة بالحق يقوم على عناصر واقعية يجب طرحها على محكمة الموضوع عدم جواز عرضها إبتداء على محكمة </w:t>
      </w:r>
      <w:proofErr w:type="gramStart"/>
      <w:r w:rsidRPr="00735F27">
        <w:rPr>
          <w:rFonts w:ascii="Simplified Arabic" w:eastAsia="Times New Roman" w:hAnsi="Simplified Arabic" w:cs="Simplified Arabic"/>
          <w:sz w:val="28"/>
          <w:szCs w:val="28"/>
          <w:rtl/>
        </w:rPr>
        <w:t>النقض .</w:t>
      </w:r>
      <w:proofErr w:type="gramEnd"/>
    </w:p>
    <w:p w:rsidR="00735F27" w:rsidRPr="00735F27" w:rsidRDefault="00735F27" w:rsidP="00735F27">
      <w:pPr>
        <w:spacing w:after="0" w:line="240" w:lineRule="auto"/>
        <w:jc w:val="center"/>
        <w:rPr>
          <w:rFonts w:ascii="Times New Roman" w:eastAsia="Times New Roman" w:hAnsi="Times New Roman" w:cs="PT Bold Heading"/>
          <w:b/>
          <w:bCs/>
          <w:color w:val="008000"/>
          <w:sz w:val="32"/>
          <w:szCs w:val="32"/>
          <w:lang w:eastAsia="ar-SA"/>
        </w:rPr>
      </w:pPr>
      <w:r w:rsidRPr="00735F27">
        <w:rPr>
          <w:rFonts w:ascii="Times New Roman" w:eastAsia="Times New Roman" w:hAnsi="Times New Roman" w:cs="PT Bold Heading" w:hint="cs"/>
          <w:b/>
          <w:bCs/>
          <w:color w:val="008000"/>
          <w:sz w:val="32"/>
          <w:szCs w:val="32"/>
          <w:rtl/>
          <w:lang w:eastAsia="ar-SA"/>
        </w:rPr>
        <w:t>القاعدة</w:t>
      </w:r>
    </w:p>
    <w:p w:rsidR="00735F27" w:rsidRPr="00735F27" w:rsidRDefault="00735F27" w:rsidP="00735F27">
      <w:pPr>
        <w:spacing w:after="0" w:line="240" w:lineRule="auto"/>
        <w:jc w:val="lowKashida"/>
        <w:rPr>
          <w:rFonts w:ascii="Times New Roman" w:eastAsia="Times New Roman" w:hAnsi="Times New Roman" w:cs="Simplified Arabic"/>
          <w:sz w:val="28"/>
          <w:szCs w:val="28"/>
        </w:rPr>
      </w:pPr>
      <w:r w:rsidRPr="00735F27">
        <w:rPr>
          <w:rFonts w:ascii="Simplified Arabic" w:eastAsia="Times New Roman" w:hAnsi="Simplified Arabic" w:cs="Simplified Arabic"/>
          <w:sz w:val="28"/>
          <w:szCs w:val="28"/>
          <w:rtl/>
        </w:rPr>
        <w:t>1- النص فى المادة 89 من قانون التأمينات الإجتماعية الصادر بالقانون رقم 63 لسنة 1964 يدل على أن حق العامل فى قيمة الزيادة من أنظمة المعاشات أو المكافآت أو الإدخار الأفضل التى أرتبط بها أصحاب الأعمال و تحملوها و مكافأة نهاية الخدمة القانونية محسوبة على أساس المادة 73 من قانون العمل ، هو حق ناشىء عن عقد العمل و تحكمه قواعده من عقود العمل و مختلف قوانينه و ما لا يتعارض معها من أحكام القانون المدنى ، و منها ما نصت عليه المادة 968 بقولها " تسقط بالتقادم الدعاوى الناشئة عن عقد العمل بإنقضاء سنة تبدأ من وقت إنهاء العقد " . و هو ميعاد يتصل برفع الدعوى ، أما مستحقات المؤمن عليه الأخرى المقررة و الناشئة مباشرة من قانون التأمينات الإجتماعية الصادر بالقانون رقم 63 لسنة 1964 ، فتخضع للتقادم الخمسى ، المنصوص عليه فى المادة 119 من  هذا القانون . و إذ كان ذلك ، و كان الحكم المطعون فيه قد إلتزم هذا النظر و جرى فى قضائه على سقوط دعوى الطاعن لرفعها بعد إنقضاء سنة من إنهاء عقده فإنه لا يكون قد خالف القانون  .</w:t>
      </w:r>
    </w:p>
    <w:p w:rsidR="00735F27" w:rsidRPr="00735F27" w:rsidRDefault="00735F27" w:rsidP="00735F27">
      <w:pPr>
        <w:spacing w:after="0" w:line="240" w:lineRule="auto"/>
        <w:jc w:val="lowKashida"/>
        <w:rPr>
          <w:rFonts w:ascii="Times New Roman" w:eastAsia="Times New Roman" w:hAnsi="Times New Roman" w:cs="Simplified Arabic"/>
          <w:sz w:val="28"/>
          <w:szCs w:val="28"/>
        </w:rPr>
      </w:pPr>
    </w:p>
    <w:p w:rsidR="00735F27" w:rsidRPr="00735F27" w:rsidRDefault="00735F27" w:rsidP="00735F27">
      <w:pPr>
        <w:spacing w:after="0" w:line="240" w:lineRule="auto"/>
        <w:jc w:val="lowKashida"/>
        <w:rPr>
          <w:rFonts w:ascii="Times New Roman" w:eastAsia="Times New Roman" w:hAnsi="Times New Roman" w:cs="Simplified Arabic"/>
          <w:sz w:val="28"/>
          <w:szCs w:val="28"/>
        </w:rPr>
      </w:pPr>
      <w:r w:rsidRPr="00735F27">
        <w:rPr>
          <w:rFonts w:ascii="Simplified Arabic" w:eastAsia="Times New Roman" w:hAnsi="Simplified Arabic" w:cs="Simplified Arabic"/>
          <w:sz w:val="28"/>
          <w:szCs w:val="28"/>
          <w:rtl/>
        </w:rPr>
        <w:t xml:space="preserve">2- تقدير المانع من المطالبة بالحق و الذى يعتبر سبباً لوقف التقادم عملاً بالمادة 382 من القانون المدنى يقوم على عناصر واقعية يجب طرحها أمام محكمة الموضوع لتقول كلمتها فيها ، و لا يجوز عرضها إبتداء على محكمة النقض . </w:t>
      </w:r>
    </w:p>
    <w:p w:rsidR="00735F27" w:rsidRPr="00735F27" w:rsidRDefault="00735F27" w:rsidP="00735F27">
      <w:pPr>
        <w:spacing w:after="0" w:line="240" w:lineRule="auto"/>
        <w:jc w:val="lowKashida"/>
        <w:rPr>
          <w:rFonts w:ascii="Times New Roman" w:eastAsia="Times New Roman" w:hAnsi="Times New Roman" w:cs="Simplified Arabic"/>
          <w:sz w:val="28"/>
          <w:szCs w:val="28"/>
        </w:rPr>
      </w:pPr>
    </w:p>
    <w:p w:rsidR="00735F27" w:rsidRPr="00735F27" w:rsidRDefault="00735F27" w:rsidP="00735F27">
      <w:pPr>
        <w:spacing w:after="0" w:line="240" w:lineRule="auto"/>
        <w:jc w:val="center"/>
        <w:rPr>
          <w:rFonts w:ascii="Times New Roman" w:eastAsia="Times New Roman" w:hAnsi="Times New Roman" w:cs="Simplified Arabic"/>
          <w:sz w:val="24"/>
          <w:szCs w:val="24"/>
        </w:rPr>
      </w:pPr>
      <w:r w:rsidRPr="00735F27">
        <w:rPr>
          <w:rFonts w:ascii="Simplified Arabic" w:eastAsia="Times New Roman" w:hAnsi="Simplified Arabic" w:cs="Simplified Arabic"/>
          <w:sz w:val="24"/>
          <w:szCs w:val="24"/>
          <w:rtl/>
        </w:rPr>
        <w:t>" سنة المكتب الفنى "  30 " رقم الصفحة -  418-  قاعدة رقم –   -  "</w:t>
      </w:r>
    </w:p>
    <w:p w:rsidR="00735F27" w:rsidRPr="00735F27" w:rsidRDefault="00735F27" w:rsidP="00735F27">
      <w:pPr>
        <w:spacing w:after="0" w:line="240" w:lineRule="auto"/>
        <w:rPr>
          <w:rFonts w:ascii="Times New Roman" w:eastAsia="Times New Roman" w:hAnsi="Times New Roman" w:cs="Times New Roman"/>
          <w:sz w:val="24"/>
          <w:szCs w:val="24"/>
        </w:rPr>
      </w:pPr>
    </w:p>
    <w:p w:rsidR="006173AA" w:rsidRPr="00735F27" w:rsidRDefault="006173AA">
      <w:bookmarkStart w:id="0" w:name="_GoBack"/>
      <w:bookmarkEnd w:id="0"/>
    </w:p>
    <w:sectPr w:rsidR="006173AA" w:rsidRPr="00735F27"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B97"/>
    <w:rsid w:val="0003272B"/>
    <w:rsid w:val="006173AA"/>
    <w:rsid w:val="00735F27"/>
    <w:rsid w:val="00747B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87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1365</Characters>
  <Application>Microsoft Office Word</Application>
  <DocSecurity>0</DocSecurity>
  <Lines>11</Lines>
  <Paragraphs>3</Paragraphs>
  <ScaleCrop>false</ScaleCrop>
  <Company/>
  <LinksUpToDate>false</LinksUpToDate>
  <CharactersWithSpaces>1601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2020-06-08T10:06:00Z</dcterms:created>
  <dcterms:modified xsi:type="dcterms:W3CDTF">2020-06-08T10:06:00Z</dcterms:modified>
</cp:coreProperties>
</file>