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C7" w:rsidRPr="005A2DC7" w:rsidRDefault="005A2DC7" w:rsidP="005A2DC7">
      <w:pPr>
        <w:spacing w:after="0" w:line="240" w:lineRule="auto"/>
        <w:jc w:val="center"/>
        <w:rPr>
          <w:rFonts w:ascii="Times New Roman" w:eastAsia="Times New Roman" w:hAnsi="Times New Roman" w:cs="PT Bold Heading"/>
          <w:b/>
          <w:bCs/>
          <w:color w:val="008000"/>
          <w:sz w:val="32"/>
          <w:szCs w:val="32"/>
          <w:lang w:eastAsia="ar-SA"/>
        </w:rPr>
      </w:pPr>
      <w:r w:rsidRPr="005A2DC7">
        <w:rPr>
          <w:rFonts w:ascii="Times New Roman" w:eastAsia="Times New Roman" w:hAnsi="Times New Roman" w:cs="PT Bold Heading" w:hint="cs"/>
          <w:b/>
          <w:bCs/>
          <w:color w:val="008000"/>
          <w:sz w:val="32"/>
          <w:szCs w:val="32"/>
          <w:rtl/>
          <w:lang w:eastAsia="ar-SA"/>
        </w:rPr>
        <w:t xml:space="preserve">الطعن رقم 1145 لسنة 48 ق </w:t>
      </w:r>
      <w:r w:rsidRPr="005A2DC7">
        <w:rPr>
          <w:rFonts w:ascii="Times New Roman" w:eastAsia="Times New Roman" w:hAnsi="Times New Roman" w:cs="Times New Roman" w:hint="cs"/>
          <w:b/>
          <w:bCs/>
          <w:color w:val="008000"/>
          <w:sz w:val="32"/>
          <w:szCs w:val="32"/>
          <w:rtl/>
          <w:lang w:eastAsia="ar-SA"/>
        </w:rPr>
        <w:t>-</w:t>
      </w:r>
      <w:r w:rsidRPr="005A2DC7">
        <w:rPr>
          <w:rFonts w:ascii="Times New Roman" w:eastAsia="Times New Roman" w:hAnsi="Times New Roman" w:cs="PT Bold Heading" w:hint="cs"/>
          <w:b/>
          <w:bCs/>
          <w:color w:val="008000"/>
          <w:sz w:val="32"/>
          <w:szCs w:val="32"/>
          <w:rtl/>
          <w:lang w:eastAsia="ar-SA"/>
        </w:rPr>
        <w:t xml:space="preserve"> جلسة20 -6-1979</w:t>
      </w:r>
    </w:p>
    <w:p w:rsidR="005A2DC7" w:rsidRPr="005A2DC7" w:rsidRDefault="005A2DC7" w:rsidP="005A2DC7">
      <w:pPr>
        <w:spacing w:after="0" w:line="240" w:lineRule="auto"/>
        <w:jc w:val="center"/>
        <w:rPr>
          <w:rFonts w:ascii="Times New Roman" w:eastAsia="Times New Roman" w:hAnsi="Times New Roman" w:cs="PT Bold Heading"/>
          <w:b/>
          <w:bCs/>
          <w:color w:val="008000"/>
          <w:sz w:val="32"/>
          <w:szCs w:val="32"/>
          <w:lang w:eastAsia="ar-SA"/>
        </w:rPr>
      </w:pPr>
      <w:r w:rsidRPr="005A2DC7">
        <w:rPr>
          <w:rFonts w:ascii="Times New Roman" w:eastAsia="Times New Roman" w:hAnsi="Times New Roman" w:cs="PT Bold Heading" w:hint="cs"/>
          <w:b/>
          <w:bCs/>
          <w:color w:val="008000"/>
          <w:sz w:val="32"/>
          <w:szCs w:val="32"/>
          <w:rtl/>
          <w:lang w:eastAsia="ar-SA"/>
        </w:rPr>
        <w:t>الموضوع ،  و  الموجز :</w:t>
      </w:r>
    </w:p>
    <w:p w:rsidR="005A2DC7" w:rsidRPr="005A2DC7" w:rsidRDefault="005A2DC7" w:rsidP="005A2DC7">
      <w:pPr>
        <w:spacing w:after="0" w:line="240" w:lineRule="auto"/>
        <w:jc w:val="lowKashida"/>
        <w:rPr>
          <w:rFonts w:ascii="Times New Roman" w:eastAsia="Times New Roman" w:hAnsi="Times New Roman" w:cs="Simplified Arabic"/>
          <w:b/>
          <w:bCs/>
          <w:sz w:val="32"/>
          <w:szCs w:val="32"/>
        </w:rPr>
      </w:pPr>
    </w:p>
    <w:p w:rsidR="005A2DC7" w:rsidRPr="005A2DC7" w:rsidRDefault="005A2DC7" w:rsidP="005A2DC7">
      <w:pPr>
        <w:spacing w:after="0" w:line="240" w:lineRule="auto"/>
        <w:jc w:val="lowKashida"/>
        <w:rPr>
          <w:rFonts w:ascii="Times New Roman" w:eastAsia="Times New Roman" w:hAnsi="Times New Roman" w:cs="Simplified Arabic"/>
          <w:b/>
          <w:bCs/>
          <w:sz w:val="28"/>
          <w:szCs w:val="28"/>
        </w:rPr>
      </w:pPr>
      <w:r w:rsidRPr="005A2DC7">
        <w:rPr>
          <w:rFonts w:ascii="Simplified Arabic" w:eastAsia="Times New Roman" w:hAnsi="Simplified Arabic" w:cs="Simplified Arabic"/>
          <w:b/>
          <w:bCs/>
          <w:sz w:val="32"/>
          <w:szCs w:val="32"/>
          <w:rtl/>
        </w:rPr>
        <w:t xml:space="preserve">(1) </w:t>
      </w:r>
      <w:r w:rsidRPr="005A2DC7">
        <w:rPr>
          <w:rFonts w:ascii="Simplified Arabic" w:eastAsia="Times New Roman" w:hAnsi="Simplified Arabic" w:cs="Simplified Arabic"/>
          <w:b/>
          <w:bCs/>
          <w:sz w:val="28"/>
          <w:szCs w:val="24"/>
          <w:rtl/>
        </w:rPr>
        <w:t xml:space="preserve">   </w:t>
      </w:r>
      <w:r w:rsidRPr="005A2DC7">
        <w:rPr>
          <w:rFonts w:ascii="Simplified Arabic" w:eastAsia="Times New Roman" w:hAnsi="Simplified Arabic" w:cs="Simplified Arabic"/>
          <w:b/>
          <w:bCs/>
          <w:sz w:val="28"/>
          <w:szCs w:val="28"/>
          <w:rtl/>
        </w:rPr>
        <w:t xml:space="preserve"> تنفيذ</w:t>
      </w:r>
    </w:p>
    <w:p w:rsidR="005A2DC7" w:rsidRPr="005A2DC7" w:rsidRDefault="005A2DC7" w:rsidP="005A2DC7">
      <w:pPr>
        <w:spacing w:after="0" w:line="240" w:lineRule="auto"/>
        <w:jc w:val="lowKashida"/>
        <w:rPr>
          <w:rFonts w:ascii="Times New Roman" w:eastAsia="Times New Roman" w:hAnsi="Times New Roman" w:cs="Simplified Arabic"/>
          <w:sz w:val="28"/>
          <w:szCs w:val="28"/>
        </w:rPr>
      </w:pPr>
      <w:r w:rsidRPr="005A2DC7">
        <w:rPr>
          <w:rFonts w:ascii="Times New Roman" w:eastAsia="Times New Roman" w:hAnsi="Times New Roman" w:cs="Simplified Arabic"/>
          <w:sz w:val="28"/>
          <w:szCs w:val="28"/>
        </w:rPr>
        <w:t>-</w:t>
      </w:r>
      <w:r w:rsidRPr="005A2DC7">
        <w:rPr>
          <w:rFonts w:ascii="Simplified Arabic" w:eastAsia="Times New Roman" w:hAnsi="Simplified Arabic" w:cs="Simplified Arabic"/>
          <w:sz w:val="28"/>
          <w:szCs w:val="28"/>
          <w:rtl/>
        </w:rPr>
        <w:t xml:space="preserve"> أمر قاضي التنفيذ بتوقيع الحجز التحفظي مع تحديد جلسة لنظر دعوي الحق وصحة </w:t>
      </w:r>
      <w:proofErr w:type="gramStart"/>
      <w:r w:rsidRPr="005A2DC7">
        <w:rPr>
          <w:rFonts w:ascii="Simplified Arabic" w:eastAsia="Times New Roman" w:hAnsi="Simplified Arabic" w:cs="Simplified Arabic"/>
          <w:sz w:val="28"/>
          <w:szCs w:val="28"/>
          <w:rtl/>
        </w:rPr>
        <w:t>الحجز .</w:t>
      </w:r>
      <w:proofErr w:type="gramEnd"/>
      <w:r w:rsidRPr="005A2DC7">
        <w:rPr>
          <w:rFonts w:ascii="Simplified Arabic" w:eastAsia="Times New Roman" w:hAnsi="Simplified Arabic" w:cs="Simplified Arabic"/>
          <w:sz w:val="28"/>
          <w:szCs w:val="28"/>
          <w:rtl/>
        </w:rPr>
        <w:t xml:space="preserve"> اعلان المحجوز عليه بالأمر . لا يغنى عن وجوب اقامة الدعوي بصحيفة تودع قلم الكتاب وتعلن المحجوز عليه في الميعاد . القانوني . م 320 مرافعات</w:t>
      </w:r>
    </w:p>
    <w:p w:rsidR="005A2DC7" w:rsidRPr="005A2DC7" w:rsidRDefault="005A2DC7" w:rsidP="005A2DC7">
      <w:pPr>
        <w:spacing w:after="0" w:line="240" w:lineRule="auto"/>
        <w:jc w:val="lowKashida"/>
        <w:rPr>
          <w:rFonts w:ascii="Times New Roman" w:eastAsia="Times New Roman" w:hAnsi="Times New Roman" w:cs="Simplified Arabic"/>
          <w:b/>
          <w:bCs/>
          <w:sz w:val="28"/>
          <w:szCs w:val="24"/>
        </w:rPr>
      </w:pPr>
    </w:p>
    <w:p w:rsidR="005A2DC7" w:rsidRPr="005A2DC7" w:rsidRDefault="005A2DC7" w:rsidP="005A2DC7">
      <w:pPr>
        <w:spacing w:after="0" w:line="240" w:lineRule="auto"/>
        <w:jc w:val="lowKashida"/>
        <w:rPr>
          <w:rFonts w:ascii="Times New Roman" w:eastAsia="Times New Roman" w:hAnsi="Times New Roman" w:cs="Simplified Arabic"/>
          <w:b/>
          <w:bCs/>
          <w:sz w:val="28"/>
          <w:szCs w:val="24"/>
        </w:rPr>
      </w:pPr>
      <w:r w:rsidRPr="005A2DC7">
        <w:rPr>
          <w:rFonts w:ascii="Simplified Arabic" w:eastAsia="Times New Roman" w:hAnsi="Simplified Arabic" w:cs="Simplified Arabic"/>
          <w:b/>
          <w:bCs/>
          <w:sz w:val="32"/>
          <w:szCs w:val="32"/>
          <w:rtl/>
        </w:rPr>
        <w:t xml:space="preserve">(2) </w:t>
      </w:r>
      <w:r w:rsidRPr="005A2DC7">
        <w:rPr>
          <w:rFonts w:ascii="Simplified Arabic" w:eastAsia="Times New Roman" w:hAnsi="Simplified Arabic" w:cs="Simplified Arabic"/>
          <w:b/>
          <w:bCs/>
          <w:sz w:val="28"/>
          <w:szCs w:val="24"/>
          <w:rtl/>
        </w:rPr>
        <w:t xml:space="preserve">    </w:t>
      </w:r>
      <w:r w:rsidRPr="005A2DC7">
        <w:rPr>
          <w:rFonts w:ascii="Simplified Arabic" w:eastAsia="Times New Roman" w:hAnsi="Simplified Arabic" w:cs="Simplified Arabic"/>
          <w:b/>
          <w:bCs/>
          <w:sz w:val="28"/>
          <w:szCs w:val="28"/>
          <w:rtl/>
        </w:rPr>
        <w:t>دعوى</w:t>
      </w:r>
    </w:p>
    <w:p w:rsidR="005A2DC7" w:rsidRPr="005A2DC7" w:rsidRDefault="005A2DC7" w:rsidP="005A2DC7">
      <w:pPr>
        <w:spacing w:after="0" w:line="240" w:lineRule="auto"/>
        <w:jc w:val="lowKashida"/>
        <w:rPr>
          <w:rFonts w:ascii="Times New Roman" w:eastAsia="Times New Roman" w:hAnsi="Times New Roman" w:cs="Simplified Arabic"/>
          <w:sz w:val="28"/>
          <w:szCs w:val="28"/>
        </w:rPr>
      </w:pPr>
      <w:r w:rsidRPr="005A2DC7">
        <w:rPr>
          <w:rFonts w:ascii="Times New Roman" w:eastAsia="Times New Roman" w:hAnsi="Times New Roman" w:cs="Simplified Arabic"/>
          <w:sz w:val="28"/>
          <w:szCs w:val="28"/>
        </w:rPr>
        <w:t>-</w:t>
      </w:r>
      <w:r w:rsidRPr="005A2DC7">
        <w:rPr>
          <w:rFonts w:ascii="Simplified Arabic" w:eastAsia="Times New Roman" w:hAnsi="Simplified Arabic" w:cs="Simplified Arabic"/>
          <w:sz w:val="28"/>
          <w:szCs w:val="28"/>
          <w:rtl/>
        </w:rPr>
        <w:t xml:space="preserve"> دفع الطاعن ببطلان الدعوي لرفعها بغير الطريق </w:t>
      </w:r>
      <w:proofErr w:type="gramStart"/>
      <w:r w:rsidRPr="005A2DC7">
        <w:rPr>
          <w:rFonts w:ascii="Simplified Arabic" w:eastAsia="Times New Roman" w:hAnsi="Simplified Arabic" w:cs="Simplified Arabic"/>
          <w:sz w:val="28"/>
          <w:szCs w:val="28"/>
          <w:rtl/>
        </w:rPr>
        <w:t>القانوني .</w:t>
      </w:r>
      <w:proofErr w:type="gramEnd"/>
      <w:r w:rsidRPr="005A2DC7">
        <w:rPr>
          <w:rFonts w:ascii="Simplified Arabic" w:eastAsia="Times New Roman" w:hAnsi="Simplified Arabic" w:cs="Simplified Arabic"/>
          <w:sz w:val="28"/>
          <w:szCs w:val="28"/>
          <w:rtl/>
        </w:rPr>
        <w:t xml:space="preserve"> دفع بعدم القبول . لا محل للقول بتحقق الغاية من الإجراء بطرح الدعوي علي المحكمة . علة ذلك .</w:t>
      </w:r>
    </w:p>
    <w:p w:rsidR="005A2DC7" w:rsidRPr="005A2DC7" w:rsidRDefault="005A2DC7" w:rsidP="005A2DC7">
      <w:pPr>
        <w:spacing w:after="0" w:line="240" w:lineRule="auto"/>
        <w:jc w:val="lowKashida"/>
        <w:rPr>
          <w:rFonts w:ascii="Times New Roman" w:eastAsia="Times New Roman" w:hAnsi="Times New Roman" w:cs="Simplified Arabic"/>
          <w:b/>
          <w:bCs/>
          <w:sz w:val="28"/>
          <w:szCs w:val="24"/>
        </w:rPr>
      </w:pPr>
    </w:p>
    <w:p w:rsidR="005A2DC7" w:rsidRPr="005A2DC7" w:rsidRDefault="005A2DC7" w:rsidP="005A2DC7">
      <w:pPr>
        <w:spacing w:after="0" w:line="240" w:lineRule="auto"/>
        <w:jc w:val="lowKashida"/>
        <w:rPr>
          <w:rFonts w:ascii="Times New Roman" w:eastAsia="Times New Roman" w:hAnsi="Times New Roman" w:cs="Simplified Arabic"/>
          <w:b/>
          <w:bCs/>
          <w:sz w:val="28"/>
          <w:szCs w:val="24"/>
        </w:rPr>
      </w:pPr>
    </w:p>
    <w:p w:rsidR="005A2DC7" w:rsidRPr="005A2DC7" w:rsidRDefault="005A2DC7" w:rsidP="005A2DC7">
      <w:pPr>
        <w:spacing w:after="0" w:line="240" w:lineRule="auto"/>
        <w:jc w:val="lowKashida"/>
        <w:rPr>
          <w:rFonts w:ascii="Simplified Arabic" w:eastAsia="Times New Roman" w:hAnsi="Simplified Arabic" w:cs="Simplified Arabic"/>
          <w:b/>
          <w:bCs/>
          <w:sz w:val="28"/>
          <w:szCs w:val="24"/>
        </w:rPr>
      </w:pPr>
    </w:p>
    <w:p w:rsidR="005A2DC7" w:rsidRPr="005A2DC7" w:rsidRDefault="005A2DC7" w:rsidP="005A2DC7">
      <w:pPr>
        <w:spacing w:after="0" w:line="240" w:lineRule="auto"/>
        <w:jc w:val="center"/>
        <w:rPr>
          <w:rFonts w:ascii="Times New Roman" w:eastAsia="Times New Roman" w:hAnsi="Times New Roman" w:cs="PT Bold Heading"/>
          <w:b/>
          <w:bCs/>
          <w:color w:val="008000"/>
          <w:sz w:val="32"/>
          <w:szCs w:val="32"/>
          <w:rtl/>
          <w:lang w:eastAsia="ar-SA"/>
        </w:rPr>
      </w:pPr>
      <w:r w:rsidRPr="005A2DC7">
        <w:rPr>
          <w:rFonts w:ascii="Times New Roman" w:eastAsia="Times New Roman" w:hAnsi="Times New Roman" w:cs="PT Bold Heading" w:hint="cs"/>
          <w:b/>
          <w:bCs/>
          <w:color w:val="008000"/>
          <w:sz w:val="32"/>
          <w:szCs w:val="32"/>
          <w:rtl/>
          <w:lang w:eastAsia="ar-SA"/>
        </w:rPr>
        <w:t>القاعدة</w:t>
      </w:r>
    </w:p>
    <w:p w:rsidR="005A2DC7" w:rsidRPr="005A2DC7" w:rsidRDefault="005A2DC7" w:rsidP="005A2DC7">
      <w:pPr>
        <w:spacing w:after="0" w:line="240" w:lineRule="auto"/>
        <w:jc w:val="lowKashida"/>
        <w:rPr>
          <w:rFonts w:ascii="Times New Roman" w:eastAsia="Times New Roman" w:hAnsi="Times New Roman" w:cs="Simplified Arabic"/>
          <w:sz w:val="28"/>
          <w:szCs w:val="28"/>
        </w:rPr>
      </w:pPr>
      <w:r w:rsidRPr="005A2DC7">
        <w:rPr>
          <w:rFonts w:ascii="Simplified Arabic" w:eastAsia="Times New Roman" w:hAnsi="Simplified Arabic" w:cs="Simplified Arabic"/>
          <w:sz w:val="28"/>
          <w:szCs w:val="28"/>
          <w:rtl/>
        </w:rPr>
        <w:t>1- مؤدى الفقرة الثالثة من قانون المرافعات ، أنه فى غير الأحوال التى يوقع فيها الحجز بأمر من قاضى التنفيذ يجب على الحاجز وقع الدعوى بثبوت الحق و صحة الحجز وفقاً للقواعد العامة فى رفع الدعاوى خلال ثمانية أيام من إجراء الحجز و إلا إعتبر كأن لم يكن ، و بذلك عدل المشرع - على ما أفصحت عنه المذكرة الإيضاحية - الحكم الذى كان وارداً فى المادة 605 من قانون المرافعات السابق تعديلاً إقتضاه الإتجاه لإعتبار الدعوى مرفوعة بإيداع صحيفتها قلم الكتاب فلم يستلزم تضمين إعلان المحجوز عليه بالحجز تكليفه بالحضور لسماع الحكم بصحة الحجز ، إكتفاء بإلزام الحاجز برفع دعوى صحة الحجز بالطرق المعتادة فى الميعاد المحدد لإعلانه المحجوز عليه بمحضر الحجز ، متى كان ذلك و كان المطعون عليه الأول لم يقم دعواه بثبوت الحق بصحيفة مودعة قلم الكتاب بل طرحت على المحكمة بالجلسة التى حددها - دون موجب - رئيس المحكمة الأمر بتوقيع الحجز و  التى تضمنها إعلان الطاعن " المحجوز عليه " بالحجز ، فإن تحديد الجلسة فى أمر الحجز و إعلان الطاعن به على النحو السالف لا يجزى عن وجوب إتباع السبيل الذى رسمه القانون لإتصال المحكمة بالدعوى .</w:t>
      </w:r>
    </w:p>
    <w:p w:rsidR="005A2DC7" w:rsidRPr="005A2DC7" w:rsidRDefault="005A2DC7" w:rsidP="005A2DC7">
      <w:pPr>
        <w:spacing w:after="0" w:line="240" w:lineRule="auto"/>
        <w:jc w:val="lowKashida"/>
        <w:rPr>
          <w:rFonts w:ascii="Times New Roman" w:eastAsia="Times New Roman" w:hAnsi="Times New Roman" w:cs="Simplified Arabic"/>
          <w:sz w:val="28"/>
          <w:szCs w:val="28"/>
        </w:rPr>
      </w:pPr>
    </w:p>
    <w:p w:rsidR="005A2DC7" w:rsidRPr="005A2DC7" w:rsidRDefault="005A2DC7" w:rsidP="005A2DC7">
      <w:pPr>
        <w:spacing w:after="0" w:line="240" w:lineRule="auto"/>
        <w:jc w:val="lowKashida"/>
        <w:rPr>
          <w:rFonts w:ascii="Times New Roman" w:eastAsia="Times New Roman" w:hAnsi="Times New Roman" w:cs="Simplified Arabic"/>
          <w:sz w:val="28"/>
          <w:szCs w:val="28"/>
        </w:rPr>
      </w:pPr>
      <w:r w:rsidRPr="005A2DC7">
        <w:rPr>
          <w:rFonts w:ascii="Simplified Arabic" w:eastAsia="Times New Roman" w:hAnsi="Simplified Arabic" w:cs="Simplified Arabic"/>
          <w:sz w:val="28"/>
          <w:szCs w:val="28"/>
          <w:rtl/>
        </w:rPr>
        <w:lastRenderedPageBreak/>
        <w:t>2- إذ كان الدفع المبدى من الطاعن بعدم قبول الدعوى لرفعها بغير الطريق الذى رسمته المادة 63 من قانون المرافعات هو فى حقيقته رفع بعدم قبولها لرفعها بغير هذا الطريق ، فإنه لا محل لما ذهب اليه الحكم المطعون فيه من أن الغاية من الإجراء قد تحققت بطرح الدعوى على المحكمة بما يصحح الإجراء ، و لو كان تعيبه راجعاً لأمر من النظام العام إذ عدم إستيفاء الدعوى لشروط رفعها جراءه عدم القبول و ليس البطلان و تحقق الغاية من الإجراء - حسبما تنص على ذلك المادة 20 من قانون المرافعات - لا يكون إلا بصدد جزاء البطلان و لا يتعداه إلى غير ذلك من الجزاءات . لما كان ما تقدم فإنه تتوافر للدفع مقومات قبوله و إذ قضى الحكم المطعون فيه رغم ذلك برفضه فإنه يكون قد خالف القانون .</w:t>
      </w:r>
    </w:p>
    <w:p w:rsidR="005A2DC7" w:rsidRPr="005A2DC7" w:rsidRDefault="005A2DC7" w:rsidP="005A2DC7">
      <w:pPr>
        <w:spacing w:after="0" w:line="240" w:lineRule="auto"/>
        <w:jc w:val="lowKashida"/>
        <w:rPr>
          <w:rFonts w:ascii="Times New Roman" w:eastAsia="Times New Roman" w:hAnsi="Times New Roman" w:cs="Simplified Arabic"/>
          <w:sz w:val="28"/>
          <w:szCs w:val="28"/>
        </w:rPr>
      </w:pPr>
    </w:p>
    <w:p w:rsidR="005A2DC7" w:rsidRPr="005A2DC7" w:rsidRDefault="005A2DC7" w:rsidP="005A2DC7">
      <w:pPr>
        <w:spacing w:after="0" w:line="240" w:lineRule="auto"/>
        <w:jc w:val="center"/>
        <w:rPr>
          <w:rFonts w:ascii="Times New Roman" w:eastAsia="Times New Roman" w:hAnsi="Times New Roman" w:cs="Simplified Arabic"/>
          <w:sz w:val="24"/>
          <w:szCs w:val="24"/>
        </w:rPr>
      </w:pPr>
      <w:r w:rsidRPr="005A2DC7">
        <w:rPr>
          <w:rFonts w:ascii="Simplified Arabic" w:eastAsia="Times New Roman" w:hAnsi="Simplified Arabic" w:cs="Simplified Arabic"/>
          <w:sz w:val="24"/>
          <w:szCs w:val="24"/>
          <w:rtl/>
        </w:rPr>
        <w:t>" سنة المكتب الفنى "  30 " رقم الصفحة - 713  -  قاعدة رقم –   -  "</w:t>
      </w:r>
    </w:p>
    <w:p w:rsidR="005A2DC7" w:rsidRPr="005A2DC7" w:rsidRDefault="005A2DC7" w:rsidP="005A2DC7">
      <w:pPr>
        <w:spacing w:after="0" w:line="240" w:lineRule="auto"/>
        <w:rPr>
          <w:rFonts w:ascii="Times New Roman" w:eastAsia="Times New Roman" w:hAnsi="Times New Roman" w:cs="Times New Roman"/>
          <w:sz w:val="24"/>
          <w:szCs w:val="24"/>
        </w:rPr>
      </w:pPr>
    </w:p>
    <w:p w:rsidR="006173AA" w:rsidRPr="005A2DC7" w:rsidRDefault="006173AA">
      <w:bookmarkStart w:id="0" w:name="_GoBack"/>
      <w:bookmarkEnd w:id="0"/>
    </w:p>
    <w:sectPr w:rsidR="006173AA" w:rsidRPr="005A2DC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8"/>
    <w:rsid w:val="0003272B"/>
    <w:rsid w:val="003B2488"/>
    <w:rsid w:val="005A2DC7"/>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3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2020-06-08T09:41:00Z</dcterms:created>
  <dcterms:modified xsi:type="dcterms:W3CDTF">2020-06-08T09:41:00Z</dcterms:modified>
</cp:coreProperties>
</file>