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DB" w:rsidRPr="00B647DB" w:rsidRDefault="00B647DB" w:rsidP="00B647DB">
      <w:pPr>
        <w:spacing w:after="0" w:line="240" w:lineRule="auto"/>
        <w:jc w:val="center"/>
        <w:rPr>
          <w:rFonts w:ascii="Times New Roman" w:eastAsia="Times New Roman" w:hAnsi="Times New Roman" w:cs="PT Bold Heading"/>
          <w:b/>
          <w:bCs/>
          <w:color w:val="008000"/>
          <w:sz w:val="32"/>
          <w:szCs w:val="32"/>
          <w:lang w:eastAsia="ar-SA"/>
        </w:rPr>
      </w:pPr>
      <w:r w:rsidRPr="00B647DB">
        <w:rPr>
          <w:rFonts w:ascii="Times New Roman" w:eastAsia="Times New Roman" w:hAnsi="Times New Roman" w:cs="PT Bold Heading" w:hint="cs"/>
          <w:b/>
          <w:bCs/>
          <w:color w:val="008000"/>
          <w:sz w:val="32"/>
          <w:szCs w:val="32"/>
          <w:rtl/>
          <w:lang w:eastAsia="ar-SA"/>
        </w:rPr>
        <w:t xml:space="preserve">الطعن رقم 1125 لسنة 48 </w:t>
      </w:r>
      <w:r w:rsidRPr="00B647DB">
        <w:rPr>
          <w:rFonts w:ascii="Times New Roman" w:eastAsia="Times New Roman" w:hAnsi="Times New Roman" w:cs="Times New Roman" w:hint="cs"/>
          <w:b/>
          <w:bCs/>
          <w:color w:val="008000"/>
          <w:sz w:val="32"/>
          <w:szCs w:val="32"/>
          <w:rtl/>
          <w:lang w:eastAsia="ar-SA"/>
        </w:rPr>
        <w:t>-</w:t>
      </w:r>
      <w:r w:rsidRPr="00B647DB">
        <w:rPr>
          <w:rFonts w:ascii="Times New Roman" w:eastAsia="Times New Roman" w:hAnsi="Times New Roman" w:cs="PT Bold Heading" w:hint="cs"/>
          <w:b/>
          <w:bCs/>
          <w:color w:val="008000"/>
          <w:sz w:val="32"/>
          <w:szCs w:val="32"/>
          <w:rtl/>
          <w:lang w:eastAsia="ar-SA"/>
        </w:rPr>
        <w:t xml:space="preserve"> جلسة 2-5-1979</w:t>
      </w:r>
    </w:p>
    <w:p w:rsidR="00B647DB" w:rsidRPr="00B647DB" w:rsidRDefault="00B647DB" w:rsidP="00B647DB">
      <w:pPr>
        <w:spacing w:after="0" w:line="240" w:lineRule="auto"/>
        <w:jc w:val="center"/>
        <w:rPr>
          <w:rFonts w:ascii="Times New Roman" w:eastAsia="Times New Roman" w:hAnsi="Times New Roman" w:cs="PT Bold Heading"/>
          <w:b/>
          <w:bCs/>
          <w:color w:val="008000"/>
          <w:sz w:val="32"/>
          <w:szCs w:val="32"/>
          <w:lang w:eastAsia="ar-SA"/>
        </w:rPr>
      </w:pPr>
      <w:r w:rsidRPr="00B647DB">
        <w:rPr>
          <w:rFonts w:ascii="Times New Roman" w:eastAsia="Times New Roman" w:hAnsi="Times New Roman" w:cs="PT Bold Heading" w:hint="cs"/>
          <w:b/>
          <w:bCs/>
          <w:color w:val="008000"/>
          <w:sz w:val="32"/>
          <w:szCs w:val="32"/>
          <w:rtl/>
          <w:lang w:eastAsia="ar-SA"/>
        </w:rPr>
        <w:t>الموضوع ،  و  الموجز :</w:t>
      </w:r>
    </w:p>
    <w:p w:rsidR="00B647DB" w:rsidRPr="00B647DB" w:rsidRDefault="00B647DB" w:rsidP="00B647DB">
      <w:pPr>
        <w:spacing w:after="0" w:line="240" w:lineRule="auto"/>
        <w:jc w:val="lowKashida"/>
        <w:rPr>
          <w:rFonts w:ascii="Times New Roman" w:eastAsia="Times New Roman" w:hAnsi="Times New Roman" w:cs="Simplified Arabic"/>
          <w:b/>
          <w:bCs/>
          <w:sz w:val="32"/>
          <w:szCs w:val="32"/>
        </w:rPr>
      </w:pPr>
    </w:p>
    <w:p w:rsidR="00B647DB" w:rsidRPr="00B647DB" w:rsidRDefault="00B647DB" w:rsidP="00B647DB">
      <w:pPr>
        <w:spacing w:after="0" w:line="240" w:lineRule="auto"/>
        <w:jc w:val="lowKashida"/>
        <w:rPr>
          <w:rFonts w:ascii="Times New Roman" w:eastAsia="Times New Roman" w:hAnsi="Times New Roman" w:cs="Simplified Arabic"/>
          <w:b/>
          <w:bCs/>
          <w:sz w:val="28"/>
          <w:szCs w:val="28"/>
        </w:rPr>
      </w:pPr>
      <w:r w:rsidRPr="00B647DB">
        <w:rPr>
          <w:rFonts w:ascii="Simplified Arabic" w:eastAsia="Times New Roman" w:hAnsi="Simplified Arabic" w:cs="Simplified Arabic"/>
          <w:b/>
          <w:bCs/>
          <w:sz w:val="32"/>
          <w:szCs w:val="32"/>
          <w:rtl/>
        </w:rPr>
        <w:t xml:space="preserve">(1) </w:t>
      </w:r>
      <w:r w:rsidRPr="00B647DB">
        <w:rPr>
          <w:rFonts w:ascii="Simplified Arabic" w:eastAsia="Times New Roman" w:hAnsi="Simplified Arabic" w:cs="Simplified Arabic"/>
          <w:b/>
          <w:bCs/>
          <w:sz w:val="28"/>
          <w:szCs w:val="24"/>
          <w:rtl/>
        </w:rPr>
        <w:t xml:space="preserve">   </w:t>
      </w:r>
      <w:r w:rsidRPr="00B647DB">
        <w:rPr>
          <w:rFonts w:ascii="Simplified Arabic" w:eastAsia="Times New Roman" w:hAnsi="Simplified Arabic" w:cs="Simplified Arabic"/>
          <w:b/>
          <w:bCs/>
          <w:sz w:val="28"/>
          <w:szCs w:val="28"/>
          <w:rtl/>
        </w:rPr>
        <w:t xml:space="preserve"> إختصاص</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Times New Roman" w:eastAsia="Times New Roman" w:hAnsi="Times New Roman" w:cs="Simplified Arabic"/>
          <w:sz w:val="28"/>
          <w:szCs w:val="28"/>
        </w:rPr>
        <w:t>-</w:t>
      </w:r>
      <w:r w:rsidRPr="00B647DB">
        <w:rPr>
          <w:rFonts w:ascii="Simplified Arabic" w:eastAsia="Times New Roman" w:hAnsi="Simplified Arabic" w:cs="Simplified Arabic"/>
          <w:sz w:val="28"/>
          <w:szCs w:val="28"/>
          <w:rtl/>
        </w:rPr>
        <w:t xml:space="preserve"> فصل المحكمة الإستئنافية فى موضوع النزاع قضاء ضمنى برفض الدفع بعدم الإختصاص الولائى الذى سبق إثارته أمام محكمة أول درجة</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p>
    <w:p w:rsidR="00B647DB" w:rsidRPr="00B647DB" w:rsidRDefault="00B647DB" w:rsidP="00B647DB">
      <w:pPr>
        <w:spacing w:after="0" w:line="240" w:lineRule="auto"/>
        <w:jc w:val="lowKashida"/>
        <w:rPr>
          <w:rFonts w:ascii="Times New Roman" w:eastAsia="Times New Roman" w:hAnsi="Times New Roman" w:cs="Simplified Arabic"/>
          <w:b/>
          <w:bCs/>
          <w:sz w:val="28"/>
          <w:szCs w:val="24"/>
        </w:rPr>
      </w:pPr>
      <w:r w:rsidRPr="00B647DB">
        <w:rPr>
          <w:rFonts w:ascii="Simplified Arabic" w:eastAsia="Times New Roman" w:hAnsi="Simplified Arabic" w:cs="Simplified Arabic"/>
          <w:b/>
          <w:bCs/>
          <w:sz w:val="32"/>
          <w:szCs w:val="32"/>
          <w:rtl/>
        </w:rPr>
        <w:t xml:space="preserve">(2) </w:t>
      </w:r>
      <w:r w:rsidRPr="00B647DB">
        <w:rPr>
          <w:rFonts w:ascii="Simplified Arabic" w:eastAsia="Times New Roman" w:hAnsi="Simplified Arabic" w:cs="Simplified Arabic"/>
          <w:b/>
          <w:bCs/>
          <w:sz w:val="28"/>
          <w:szCs w:val="24"/>
          <w:rtl/>
        </w:rPr>
        <w:t xml:space="preserve">    </w:t>
      </w:r>
      <w:r w:rsidRPr="00B647DB">
        <w:rPr>
          <w:rFonts w:ascii="Simplified Arabic" w:eastAsia="Times New Roman" w:hAnsi="Simplified Arabic" w:cs="Simplified Arabic"/>
          <w:b/>
          <w:bCs/>
          <w:sz w:val="28"/>
          <w:szCs w:val="28"/>
          <w:rtl/>
        </w:rPr>
        <w:t>حكم</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Times New Roman" w:eastAsia="Times New Roman" w:hAnsi="Times New Roman" w:cs="Simplified Arabic"/>
          <w:sz w:val="28"/>
          <w:szCs w:val="28"/>
        </w:rPr>
        <w:t>-</w:t>
      </w:r>
      <w:r w:rsidRPr="00B647DB">
        <w:rPr>
          <w:rFonts w:ascii="Simplified Arabic" w:eastAsia="Times New Roman" w:hAnsi="Simplified Arabic" w:cs="Simplified Arabic"/>
          <w:sz w:val="28"/>
          <w:szCs w:val="28"/>
          <w:rtl/>
        </w:rPr>
        <w:t xml:space="preserve"> الدفع بعدم جواز نظر الدعوى لسبق الفصل </w:t>
      </w:r>
      <w:proofErr w:type="gramStart"/>
      <w:r w:rsidRPr="00B647DB">
        <w:rPr>
          <w:rFonts w:ascii="Simplified Arabic" w:eastAsia="Times New Roman" w:hAnsi="Simplified Arabic" w:cs="Simplified Arabic"/>
          <w:sz w:val="28"/>
          <w:szCs w:val="28"/>
          <w:rtl/>
        </w:rPr>
        <w:t>فيها .</w:t>
      </w:r>
      <w:proofErr w:type="gramEnd"/>
      <w:r w:rsidRPr="00B647DB">
        <w:rPr>
          <w:rFonts w:ascii="Simplified Arabic" w:eastAsia="Times New Roman" w:hAnsi="Simplified Arabic" w:cs="Simplified Arabic"/>
          <w:sz w:val="28"/>
          <w:szCs w:val="28"/>
          <w:rtl/>
        </w:rPr>
        <w:t xml:space="preserve"> إفتقاره لسنده القانوني . إغفال الحكم الرد عليه لا يعد قصورا</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p>
    <w:p w:rsidR="00B647DB" w:rsidRPr="00B647DB" w:rsidRDefault="00B647DB" w:rsidP="00B647DB">
      <w:pPr>
        <w:spacing w:after="0" w:line="240" w:lineRule="auto"/>
        <w:jc w:val="lowKashida"/>
        <w:rPr>
          <w:rFonts w:ascii="Simplified Arabic" w:eastAsia="Times New Roman" w:hAnsi="Simplified Arabic" w:cs="Simplified Arabic"/>
          <w:b/>
          <w:bCs/>
          <w:sz w:val="28"/>
          <w:szCs w:val="24"/>
        </w:rPr>
      </w:pPr>
      <w:r w:rsidRPr="00B647DB">
        <w:rPr>
          <w:rFonts w:ascii="Simplified Arabic" w:eastAsia="Times New Roman" w:hAnsi="Simplified Arabic" w:cs="Simplified Arabic"/>
          <w:b/>
          <w:bCs/>
          <w:sz w:val="32"/>
          <w:szCs w:val="32"/>
          <w:rtl/>
        </w:rPr>
        <w:t xml:space="preserve">(3) </w:t>
      </w:r>
      <w:r w:rsidRPr="00B647DB">
        <w:rPr>
          <w:rFonts w:ascii="Simplified Arabic" w:eastAsia="Times New Roman" w:hAnsi="Simplified Arabic" w:cs="Simplified Arabic"/>
          <w:b/>
          <w:bCs/>
          <w:sz w:val="28"/>
          <w:szCs w:val="24"/>
          <w:rtl/>
        </w:rPr>
        <w:t xml:space="preserve">   </w:t>
      </w:r>
      <w:r w:rsidRPr="00B647DB">
        <w:rPr>
          <w:rFonts w:ascii="Simplified Arabic" w:eastAsia="Times New Roman" w:hAnsi="Simplified Arabic" w:cs="Simplified Arabic"/>
          <w:b/>
          <w:bCs/>
          <w:sz w:val="28"/>
          <w:szCs w:val="28"/>
          <w:rtl/>
        </w:rPr>
        <w:t>عقد</w:t>
      </w:r>
    </w:p>
    <w:p w:rsidR="00B647DB" w:rsidRPr="00B647DB" w:rsidRDefault="00B647DB" w:rsidP="00B647DB">
      <w:pPr>
        <w:spacing w:after="0" w:line="240" w:lineRule="auto"/>
        <w:jc w:val="lowKashida"/>
        <w:rPr>
          <w:rFonts w:ascii="Times New Roman" w:eastAsia="Times New Roman" w:hAnsi="Times New Roman" w:cs="Simplified Arabic"/>
          <w:sz w:val="28"/>
          <w:szCs w:val="28"/>
          <w:rtl/>
        </w:rPr>
      </w:pPr>
      <w:r w:rsidRPr="00B647DB">
        <w:rPr>
          <w:rFonts w:ascii="Times New Roman" w:eastAsia="Times New Roman" w:hAnsi="Times New Roman" w:cs="Simplified Arabic"/>
          <w:sz w:val="28"/>
          <w:szCs w:val="28"/>
        </w:rPr>
        <w:t>-</w:t>
      </w:r>
      <w:r w:rsidRPr="00B647DB">
        <w:rPr>
          <w:rFonts w:ascii="Simplified Arabic" w:eastAsia="Times New Roman" w:hAnsi="Simplified Arabic" w:cs="Simplified Arabic"/>
          <w:sz w:val="28"/>
          <w:szCs w:val="28"/>
          <w:rtl/>
        </w:rPr>
        <w:t xml:space="preserve"> مجاوزة الوكيل حدود وكالته للموكل إجازة هذا التصرف للموكل أو للغير المتعامل مع الوكيل طلب إبطال التصرف</w:t>
      </w:r>
    </w:p>
    <w:p w:rsidR="00B647DB" w:rsidRPr="00B647DB" w:rsidRDefault="00B647DB" w:rsidP="00B647DB">
      <w:pPr>
        <w:spacing w:after="0" w:line="240" w:lineRule="auto"/>
        <w:jc w:val="lowKashida"/>
        <w:rPr>
          <w:rFonts w:ascii="Times New Roman" w:eastAsia="Times New Roman" w:hAnsi="Times New Roman" w:cs="Simplified Arabic"/>
          <w:b/>
          <w:bCs/>
          <w:sz w:val="28"/>
          <w:szCs w:val="24"/>
        </w:rPr>
      </w:pPr>
      <w:r w:rsidRPr="00B647DB">
        <w:rPr>
          <w:rFonts w:ascii="Simplified Arabic" w:eastAsia="Times New Roman" w:hAnsi="Simplified Arabic" w:cs="Simplified Arabic"/>
          <w:b/>
          <w:bCs/>
          <w:sz w:val="32"/>
          <w:szCs w:val="32"/>
          <w:rtl/>
        </w:rPr>
        <w:t xml:space="preserve">(4) </w:t>
      </w:r>
      <w:r w:rsidRPr="00B647DB">
        <w:rPr>
          <w:rFonts w:ascii="Simplified Arabic" w:eastAsia="Times New Roman" w:hAnsi="Simplified Arabic" w:cs="Simplified Arabic"/>
          <w:b/>
          <w:bCs/>
          <w:sz w:val="28"/>
          <w:szCs w:val="24"/>
          <w:rtl/>
        </w:rPr>
        <w:t xml:space="preserve">    </w:t>
      </w:r>
      <w:r w:rsidRPr="00B647DB">
        <w:rPr>
          <w:rFonts w:ascii="Simplified Arabic" w:eastAsia="Times New Roman" w:hAnsi="Simplified Arabic" w:cs="Simplified Arabic"/>
          <w:b/>
          <w:bCs/>
          <w:sz w:val="28"/>
          <w:szCs w:val="28"/>
          <w:rtl/>
        </w:rPr>
        <w:t>عقد</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Times New Roman" w:eastAsia="Times New Roman" w:hAnsi="Times New Roman" w:cs="Simplified Arabic"/>
          <w:sz w:val="28"/>
          <w:szCs w:val="28"/>
        </w:rPr>
        <w:t>-</w:t>
      </w:r>
      <w:r w:rsidRPr="00B647DB">
        <w:rPr>
          <w:rFonts w:ascii="Simplified Arabic" w:eastAsia="Times New Roman" w:hAnsi="Simplified Arabic" w:cs="Simplified Arabic"/>
          <w:sz w:val="28"/>
          <w:szCs w:val="28"/>
          <w:rtl/>
        </w:rPr>
        <w:t xml:space="preserve"> الوكيل الظاهر إعتباره نائبا عن </w:t>
      </w:r>
      <w:proofErr w:type="gramStart"/>
      <w:r w:rsidRPr="00B647DB">
        <w:rPr>
          <w:rFonts w:ascii="Simplified Arabic" w:eastAsia="Times New Roman" w:hAnsi="Simplified Arabic" w:cs="Simplified Arabic"/>
          <w:sz w:val="28"/>
          <w:szCs w:val="28"/>
          <w:rtl/>
        </w:rPr>
        <w:t>الموكل .</w:t>
      </w:r>
      <w:proofErr w:type="gramEnd"/>
      <w:r w:rsidRPr="00B647DB">
        <w:rPr>
          <w:rFonts w:ascii="Simplified Arabic" w:eastAsia="Times New Roman" w:hAnsi="Simplified Arabic" w:cs="Simplified Arabic"/>
          <w:sz w:val="28"/>
          <w:szCs w:val="28"/>
          <w:rtl/>
        </w:rPr>
        <w:t xml:space="preserve"> شرطه .</w:t>
      </w:r>
    </w:p>
    <w:p w:rsidR="00B647DB" w:rsidRPr="00B647DB" w:rsidRDefault="00B647DB" w:rsidP="00B647DB">
      <w:pPr>
        <w:spacing w:after="0" w:line="240" w:lineRule="auto"/>
        <w:jc w:val="lowKashida"/>
        <w:rPr>
          <w:rFonts w:ascii="Times New Roman" w:eastAsia="Times New Roman" w:hAnsi="Times New Roman" w:cs="Simplified Arabic"/>
          <w:b/>
          <w:bCs/>
          <w:sz w:val="28"/>
          <w:szCs w:val="24"/>
        </w:rPr>
      </w:pPr>
    </w:p>
    <w:p w:rsidR="00B647DB" w:rsidRPr="00B647DB" w:rsidRDefault="00B647DB" w:rsidP="00B647DB">
      <w:pPr>
        <w:spacing w:after="0" w:line="240" w:lineRule="auto"/>
        <w:jc w:val="lowKashida"/>
        <w:rPr>
          <w:rFonts w:ascii="Times New Roman" w:eastAsia="Times New Roman" w:hAnsi="Times New Roman" w:cs="Simplified Arabic"/>
          <w:b/>
          <w:bCs/>
          <w:sz w:val="28"/>
          <w:szCs w:val="24"/>
        </w:rPr>
      </w:pPr>
      <w:r w:rsidRPr="00B647DB">
        <w:rPr>
          <w:rFonts w:ascii="Simplified Arabic" w:eastAsia="Times New Roman" w:hAnsi="Simplified Arabic" w:cs="Simplified Arabic"/>
          <w:b/>
          <w:bCs/>
          <w:sz w:val="32"/>
          <w:szCs w:val="32"/>
          <w:rtl/>
        </w:rPr>
        <w:t xml:space="preserve">(5) </w:t>
      </w:r>
      <w:r w:rsidRPr="00B647DB">
        <w:rPr>
          <w:rFonts w:ascii="Simplified Arabic" w:eastAsia="Times New Roman" w:hAnsi="Simplified Arabic" w:cs="Simplified Arabic"/>
          <w:b/>
          <w:bCs/>
          <w:sz w:val="28"/>
          <w:szCs w:val="24"/>
          <w:rtl/>
        </w:rPr>
        <w:t xml:space="preserve">   </w:t>
      </w:r>
      <w:r w:rsidRPr="00B647DB">
        <w:rPr>
          <w:rFonts w:ascii="Simplified Arabic" w:eastAsia="Times New Roman" w:hAnsi="Simplified Arabic" w:cs="Simplified Arabic"/>
          <w:b/>
          <w:bCs/>
          <w:sz w:val="28"/>
          <w:szCs w:val="28"/>
          <w:rtl/>
        </w:rPr>
        <w:t>عقد</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Times New Roman" w:eastAsia="Times New Roman" w:hAnsi="Times New Roman" w:cs="Simplified Arabic"/>
          <w:sz w:val="28"/>
          <w:szCs w:val="28"/>
        </w:rPr>
        <w:t>-</w:t>
      </w:r>
      <w:r w:rsidRPr="00B647DB">
        <w:rPr>
          <w:rFonts w:ascii="Simplified Arabic" w:eastAsia="Times New Roman" w:hAnsi="Simplified Arabic" w:cs="Simplified Arabic"/>
          <w:sz w:val="28"/>
          <w:szCs w:val="28"/>
          <w:rtl/>
        </w:rPr>
        <w:t xml:space="preserve"> الأصل هو وجوب تثبت المتعامل مع الوكيل من قيام الوكالة وحدودها مجاوزة الوكيل حدود </w:t>
      </w:r>
      <w:proofErr w:type="gramStart"/>
      <w:r w:rsidRPr="00B647DB">
        <w:rPr>
          <w:rFonts w:ascii="Simplified Arabic" w:eastAsia="Times New Roman" w:hAnsi="Simplified Arabic" w:cs="Simplified Arabic"/>
          <w:sz w:val="28"/>
          <w:szCs w:val="28"/>
          <w:rtl/>
        </w:rPr>
        <w:t>وكالته .</w:t>
      </w:r>
      <w:proofErr w:type="gramEnd"/>
      <w:r w:rsidRPr="00B647DB">
        <w:rPr>
          <w:rFonts w:ascii="Simplified Arabic" w:eastAsia="Times New Roman" w:hAnsi="Simplified Arabic" w:cs="Simplified Arabic"/>
          <w:sz w:val="28"/>
          <w:szCs w:val="28"/>
          <w:rtl/>
        </w:rPr>
        <w:t xml:space="preserve"> أثره . عدم انصراف أثر التصرف للأصيل لا يغير من ذلك أن يكون الوكيل حسن النية أو سيء النية قصد الاضرار بالموكل أو بغيره .</w:t>
      </w:r>
    </w:p>
    <w:p w:rsidR="00B647DB" w:rsidRPr="00B647DB" w:rsidRDefault="00B647DB" w:rsidP="00B647DB">
      <w:pPr>
        <w:spacing w:after="0" w:line="240" w:lineRule="auto"/>
        <w:jc w:val="lowKashida"/>
        <w:rPr>
          <w:rFonts w:ascii="Times New Roman" w:eastAsia="Times New Roman" w:hAnsi="Times New Roman" w:cs="Simplified Arabic"/>
          <w:b/>
          <w:bCs/>
          <w:sz w:val="28"/>
          <w:szCs w:val="24"/>
        </w:rPr>
      </w:pPr>
    </w:p>
    <w:p w:rsidR="00B647DB" w:rsidRPr="00B647DB" w:rsidRDefault="00B647DB" w:rsidP="00B647DB">
      <w:pPr>
        <w:spacing w:after="0" w:line="240" w:lineRule="auto"/>
        <w:jc w:val="lowKashida"/>
        <w:rPr>
          <w:rFonts w:ascii="Simplified Arabic" w:eastAsia="Times New Roman" w:hAnsi="Simplified Arabic" w:cs="Simplified Arabic"/>
          <w:b/>
          <w:bCs/>
          <w:sz w:val="28"/>
          <w:szCs w:val="24"/>
        </w:rPr>
      </w:pPr>
    </w:p>
    <w:p w:rsidR="00B647DB" w:rsidRPr="00B647DB" w:rsidRDefault="00B647DB" w:rsidP="00B647DB">
      <w:pPr>
        <w:spacing w:after="0" w:line="240" w:lineRule="auto"/>
        <w:jc w:val="lowKashida"/>
        <w:rPr>
          <w:rFonts w:ascii="Simplified Arabic" w:eastAsia="Times New Roman" w:hAnsi="Simplified Arabic" w:cs="Simplified Arabic"/>
          <w:b/>
          <w:bCs/>
          <w:sz w:val="28"/>
          <w:szCs w:val="24"/>
          <w:rtl/>
        </w:rPr>
      </w:pPr>
    </w:p>
    <w:p w:rsidR="00B647DB" w:rsidRPr="00B647DB" w:rsidRDefault="00B647DB" w:rsidP="00B647DB">
      <w:pPr>
        <w:spacing w:after="0" w:line="240" w:lineRule="auto"/>
        <w:jc w:val="center"/>
        <w:rPr>
          <w:rFonts w:ascii="Times New Roman" w:eastAsia="Times New Roman" w:hAnsi="Times New Roman" w:cs="PT Bold Heading"/>
          <w:b/>
          <w:bCs/>
          <w:color w:val="008000"/>
          <w:sz w:val="32"/>
          <w:szCs w:val="32"/>
          <w:rtl/>
          <w:lang w:eastAsia="ar-SA"/>
        </w:rPr>
      </w:pPr>
      <w:r w:rsidRPr="00B647DB">
        <w:rPr>
          <w:rFonts w:ascii="Times New Roman" w:eastAsia="Times New Roman" w:hAnsi="Times New Roman" w:cs="PT Bold Heading" w:hint="cs"/>
          <w:b/>
          <w:bCs/>
          <w:color w:val="008000"/>
          <w:sz w:val="32"/>
          <w:szCs w:val="32"/>
          <w:rtl/>
          <w:lang w:eastAsia="ar-SA"/>
        </w:rPr>
        <w:t>القاعدة</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Simplified Arabic" w:eastAsia="Times New Roman" w:hAnsi="Simplified Arabic" w:cs="Simplified Arabic"/>
          <w:sz w:val="28"/>
          <w:szCs w:val="28"/>
          <w:rtl/>
        </w:rPr>
        <w:t>1- مسألة الإختصاص الولائى تعتبر قائمة فى الخصومة و مطروحة دائماً على المحكمة ، و عليها إذا إنتفت ولايتها أن تحكم من تلقاء نفسها بعدم إختصاصها إعمالاً لنص المادة 109 من قانون المرافعات ، و يعتبر حكمها الصادر فى الموضوع منطوياً على قضاء ضمنى بالإختصاص . و إذا فصل الحكم المطعون فيه فى موضوع النزاع فإنه يكون قد قضى ضمناً برفض الدفع بعدم الإختصاص الولائى .</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Simplified Arabic" w:eastAsia="Times New Roman" w:hAnsi="Simplified Arabic" w:cs="Simplified Arabic"/>
          <w:sz w:val="28"/>
          <w:szCs w:val="28"/>
          <w:rtl/>
        </w:rPr>
        <w:t>2- من المقرر أن الحكم السابق لا يحوز قوة الأمر المقضى بالنسبة الدعوى اللاحقة إلا إذا إتحد الموضوع و السبب فى كل من الدعويين فضلاً عن وحده الخصوم ، لما كان ذلك . و كان البين من مدونات الحكم المطعون فيه أن القضية السابق الفصل فيها من لجنه الفصل فى المنازعات الزراعية تختلف فى موضوعها و سببها عن موضوع و سبب الدعوى الحالية ، فإن التمسك بحجية الحكم السابق يضحى بلا سند قانونى صحيح فلا يعد دفاعاً جوهرياً قد يتغير به الرأى فى الدعوى طالما أنه ليست له هذه الحجية ، لما كان ذلك ، فإن إغفال الحكم المطعون فيه الرد على الدفع بعدم جواز نظر الدعوى لسابقة الفصل فيها لا يعيبه بالقصور .</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Simplified Arabic" w:eastAsia="Times New Roman" w:hAnsi="Simplified Arabic" w:cs="Simplified Arabic"/>
          <w:sz w:val="28"/>
          <w:szCs w:val="28"/>
          <w:rtl/>
        </w:rPr>
        <w:t>3- إذا جاوز الوكيل حدود وكالته فلا ينصرف أثر تصرفه إلى الموكل الذى له خيار بين إجازة هذا التصرف بقصد إضافة أثره إلى نفسه أو طلب إبطاله ، و هذا الطلب ليس مقرراً لمصلحة الغير فحسب - كما يقول الطاعنون بل هو مقرر أيضاً لمصلحة الموكل .</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Simplified Arabic" w:eastAsia="Times New Roman" w:hAnsi="Simplified Arabic" w:cs="Simplified Arabic"/>
          <w:sz w:val="28"/>
          <w:szCs w:val="28"/>
          <w:rtl/>
        </w:rPr>
        <w:t xml:space="preserve">     </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Simplified Arabic" w:eastAsia="Times New Roman" w:hAnsi="Simplified Arabic" w:cs="Simplified Arabic"/>
          <w:sz w:val="28"/>
          <w:szCs w:val="28"/>
          <w:rtl/>
        </w:rPr>
        <w:t>4- جرى قضاء هذه المحكمة على أنه يشترط لإعتبار الوكيل الظاهر نائباً عن الموكل قيام مظهر خارجى  منسوب للموكل من شأنه أن يخدع الغير الذى تعامل مع الوكيل الظاهر دون أن يرتكب هذا الغير خطأ أو تقصيراً فى إستطلاع الحقيقة ، و إذ إعتد الحكم الإبتدائى بوكالة المطعون  ضده الثانى الظاهرة على أساس أنه إبن الموكلة و يقيم معها و ينوب عنها فى تحصيل الأجرة ، و كان هذا الذى إستدل به الحكم المذكور على قيام الوكالة الظاهرة ليس فيه ما يوهم الغير بأن للإبن حق التصرف فى مال والدته ، و لا ينهض لتشكيل مظهر خارجى خاطىء من جانب المطعون ضدها الأولى من شأنه أن يخدع الطاعنين الذين تعاملوا مع إبنها فيما لا يملك التصرف فيه مع أن وكالته لا تتسع لغير حق الإدارة .</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p>
    <w:p w:rsidR="00B647DB" w:rsidRPr="00B647DB" w:rsidRDefault="00B647DB" w:rsidP="00B647DB">
      <w:pPr>
        <w:spacing w:after="0" w:line="240" w:lineRule="auto"/>
        <w:jc w:val="lowKashida"/>
        <w:rPr>
          <w:rFonts w:ascii="Times New Roman" w:eastAsia="Times New Roman" w:hAnsi="Times New Roman" w:cs="Simplified Arabic"/>
          <w:sz w:val="28"/>
          <w:szCs w:val="28"/>
        </w:rPr>
      </w:pPr>
      <w:r w:rsidRPr="00B647DB">
        <w:rPr>
          <w:rFonts w:ascii="Simplified Arabic" w:eastAsia="Times New Roman" w:hAnsi="Simplified Arabic" w:cs="Simplified Arabic"/>
          <w:sz w:val="28"/>
          <w:szCs w:val="28"/>
          <w:rtl/>
        </w:rPr>
        <w:t>5- الأصل فى قواعد الوكالة أن الغير الذى يتعاقد مع الوكيل عليه أن يتثبت من قيام الوكالة و من حدودها  و له فى سبيل ذلك أن يطلب من الوكيل ما يثبت وكالته فإن قصر فعليه تقصيره ، و إن جاوز الوكيل حدود وكالته فلا ينصرف أثر تصرفه إلى الأصيل و يستوى فى ذلك أن يكون الوكيل حسن النية أو سىء النية قصد الإضرار بالموكل أو  بغيره .</w:t>
      </w:r>
    </w:p>
    <w:p w:rsidR="00B647DB" w:rsidRPr="00B647DB" w:rsidRDefault="00B647DB" w:rsidP="00B647DB">
      <w:pPr>
        <w:spacing w:after="0" w:line="240" w:lineRule="auto"/>
        <w:jc w:val="lowKashida"/>
        <w:rPr>
          <w:rFonts w:ascii="Times New Roman" w:eastAsia="Times New Roman" w:hAnsi="Times New Roman" w:cs="Simplified Arabic"/>
          <w:sz w:val="28"/>
          <w:szCs w:val="28"/>
        </w:rPr>
      </w:pPr>
    </w:p>
    <w:p w:rsidR="00B647DB" w:rsidRPr="00B647DB" w:rsidRDefault="00B647DB" w:rsidP="00B647DB">
      <w:pPr>
        <w:spacing w:after="0" w:line="240" w:lineRule="auto"/>
        <w:jc w:val="center"/>
        <w:rPr>
          <w:rFonts w:ascii="Times New Roman" w:eastAsia="Times New Roman" w:hAnsi="Times New Roman" w:cs="Simplified Arabic"/>
          <w:sz w:val="24"/>
          <w:szCs w:val="24"/>
        </w:rPr>
      </w:pPr>
      <w:r w:rsidRPr="00B647DB">
        <w:rPr>
          <w:rFonts w:ascii="Simplified Arabic" w:eastAsia="Times New Roman" w:hAnsi="Simplified Arabic" w:cs="Simplified Arabic"/>
          <w:sz w:val="24"/>
          <w:szCs w:val="24"/>
          <w:rtl/>
        </w:rPr>
        <w:t>" سنة المكتب الفنى "  30 " رقم الصفحة -  263 -  قاعدة رقم –   -  "</w:t>
      </w:r>
    </w:p>
    <w:p w:rsidR="00B647DB" w:rsidRPr="00B647DB" w:rsidRDefault="00B647DB" w:rsidP="00B647DB">
      <w:pPr>
        <w:spacing w:after="0" w:line="240" w:lineRule="auto"/>
        <w:rPr>
          <w:rFonts w:ascii="Times New Roman" w:eastAsia="Times New Roman" w:hAnsi="Times New Roman" w:cs="Times New Roman"/>
          <w:sz w:val="24"/>
          <w:szCs w:val="24"/>
        </w:rPr>
      </w:pPr>
    </w:p>
    <w:p w:rsidR="006173AA" w:rsidRPr="00B647DB" w:rsidRDefault="006173AA">
      <w:bookmarkStart w:id="0" w:name="_GoBack"/>
      <w:bookmarkEnd w:id="0"/>
    </w:p>
    <w:sectPr w:rsidR="006173AA" w:rsidRPr="00B647D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7D"/>
    <w:rsid w:val="0003272B"/>
    <w:rsid w:val="006173AA"/>
    <w:rsid w:val="00A7177D"/>
    <w:rsid w:val="00B6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2020-06-08T09:08:00Z</dcterms:created>
  <dcterms:modified xsi:type="dcterms:W3CDTF">2020-06-08T09:08:00Z</dcterms:modified>
</cp:coreProperties>
</file>