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C7" w:rsidRPr="00E565C7" w:rsidRDefault="00E565C7" w:rsidP="00E565C7">
      <w:pPr>
        <w:spacing w:after="0" w:line="240" w:lineRule="auto"/>
        <w:jc w:val="center"/>
        <w:rPr>
          <w:rFonts w:ascii="Times New Roman" w:eastAsia="Times New Roman" w:hAnsi="Times New Roman" w:cs="PT Bold Heading"/>
          <w:b/>
          <w:bCs/>
          <w:color w:val="008000"/>
          <w:sz w:val="32"/>
          <w:szCs w:val="32"/>
          <w:lang w:eastAsia="ar-SA"/>
        </w:rPr>
      </w:pPr>
      <w:r w:rsidRPr="00E565C7">
        <w:rPr>
          <w:rFonts w:ascii="Times New Roman" w:eastAsia="Times New Roman" w:hAnsi="Times New Roman" w:cs="PT Bold Heading" w:hint="cs"/>
          <w:b/>
          <w:bCs/>
          <w:color w:val="008000"/>
          <w:sz w:val="32"/>
          <w:szCs w:val="32"/>
          <w:rtl/>
          <w:lang w:eastAsia="ar-SA"/>
        </w:rPr>
        <w:t>الطعن رقم 1043 لسنة 45 ق 12-12-1979</w:t>
      </w:r>
    </w:p>
    <w:p w:rsidR="00E565C7" w:rsidRPr="00E565C7" w:rsidRDefault="00E565C7" w:rsidP="00E565C7">
      <w:pPr>
        <w:spacing w:after="0" w:line="240" w:lineRule="auto"/>
        <w:jc w:val="center"/>
        <w:rPr>
          <w:rFonts w:ascii="Times New Roman" w:eastAsia="Times New Roman" w:hAnsi="Times New Roman" w:cs="PT Bold Heading"/>
          <w:b/>
          <w:bCs/>
          <w:color w:val="008000"/>
          <w:sz w:val="32"/>
          <w:szCs w:val="32"/>
          <w:lang w:eastAsia="ar-SA"/>
        </w:rPr>
      </w:pPr>
      <w:r w:rsidRPr="00E565C7">
        <w:rPr>
          <w:rFonts w:ascii="Times New Roman" w:eastAsia="Times New Roman" w:hAnsi="Times New Roman" w:cs="PT Bold Heading" w:hint="cs"/>
          <w:b/>
          <w:bCs/>
          <w:color w:val="008000"/>
          <w:sz w:val="32"/>
          <w:szCs w:val="32"/>
          <w:rtl/>
          <w:lang w:eastAsia="ar-SA"/>
        </w:rPr>
        <w:t>الموضوع ،  و  الموجز :</w:t>
      </w:r>
    </w:p>
    <w:p w:rsidR="00E565C7" w:rsidRPr="00E565C7" w:rsidRDefault="00E565C7" w:rsidP="00E565C7">
      <w:pPr>
        <w:spacing w:after="0" w:line="240" w:lineRule="auto"/>
        <w:jc w:val="lowKashida"/>
        <w:rPr>
          <w:rFonts w:ascii="Times New Roman" w:eastAsia="Times New Roman" w:hAnsi="Times New Roman" w:cs="Simplified Arabic"/>
          <w:b/>
          <w:bCs/>
          <w:sz w:val="32"/>
          <w:szCs w:val="32"/>
        </w:rPr>
      </w:pPr>
    </w:p>
    <w:p w:rsidR="00E565C7" w:rsidRPr="00E565C7" w:rsidRDefault="00E565C7" w:rsidP="00E565C7">
      <w:pPr>
        <w:spacing w:after="0" w:line="240" w:lineRule="auto"/>
        <w:jc w:val="lowKashida"/>
        <w:rPr>
          <w:rFonts w:ascii="Times New Roman" w:eastAsia="Times New Roman" w:hAnsi="Times New Roman" w:cs="Simplified Arabic"/>
          <w:b/>
          <w:bCs/>
          <w:sz w:val="28"/>
          <w:szCs w:val="28"/>
        </w:rPr>
      </w:pPr>
      <w:r w:rsidRPr="00E565C7">
        <w:rPr>
          <w:rFonts w:ascii="Simplified Arabic" w:eastAsia="Times New Roman" w:hAnsi="Simplified Arabic" w:cs="Simplified Arabic"/>
          <w:b/>
          <w:bCs/>
          <w:sz w:val="32"/>
          <w:szCs w:val="32"/>
          <w:rtl/>
        </w:rPr>
        <w:t xml:space="preserve">(1) </w:t>
      </w:r>
      <w:r w:rsidRPr="00E565C7">
        <w:rPr>
          <w:rFonts w:ascii="Simplified Arabic" w:eastAsia="Times New Roman" w:hAnsi="Simplified Arabic" w:cs="Simplified Arabic"/>
          <w:b/>
          <w:bCs/>
          <w:sz w:val="28"/>
          <w:szCs w:val="24"/>
          <w:rtl/>
        </w:rPr>
        <w:t xml:space="preserve">   </w:t>
      </w:r>
      <w:r w:rsidRPr="00E565C7">
        <w:rPr>
          <w:rFonts w:ascii="Simplified Arabic" w:eastAsia="Times New Roman" w:hAnsi="Simplified Arabic" w:cs="Simplified Arabic"/>
          <w:b/>
          <w:bCs/>
          <w:sz w:val="28"/>
          <w:szCs w:val="28"/>
          <w:rtl/>
        </w:rPr>
        <w:t xml:space="preserve">دعوى </w:t>
      </w:r>
    </w:p>
    <w:p w:rsidR="00E565C7" w:rsidRPr="00E565C7" w:rsidRDefault="00E565C7" w:rsidP="00E565C7">
      <w:pPr>
        <w:spacing w:after="0" w:line="240" w:lineRule="auto"/>
        <w:jc w:val="lowKashida"/>
        <w:rPr>
          <w:rFonts w:ascii="Times New Roman" w:eastAsia="Times New Roman" w:hAnsi="Times New Roman" w:cs="Simplified Arabic"/>
          <w:sz w:val="28"/>
          <w:szCs w:val="28"/>
        </w:rPr>
      </w:pPr>
      <w:r w:rsidRPr="00E565C7">
        <w:rPr>
          <w:rFonts w:ascii="Times New Roman" w:eastAsia="Times New Roman" w:hAnsi="Times New Roman" w:cs="Simplified Arabic"/>
          <w:sz w:val="28"/>
          <w:szCs w:val="28"/>
        </w:rPr>
        <w:t>-</w:t>
      </w:r>
      <w:r w:rsidRPr="00E565C7">
        <w:rPr>
          <w:rFonts w:ascii="Simplified Arabic" w:eastAsia="Times New Roman" w:hAnsi="Simplified Arabic" w:cs="Simplified Arabic"/>
          <w:sz w:val="28"/>
          <w:szCs w:val="28"/>
          <w:rtl/>
        </w:rPr>
        <w:t xml:space="preserve"> الخصم المتدخل انضماما للمستأنف فى </w:t>
      </w:r>
      <w:proofErr w:type="gramStart"/>
      <w:r w:rsidRPr="00E565C7">
        <w:rPr>
          <w:rFonts w:ascii="Simplified Arabic" w:eastAsia="Times New Roman" w:hAnsi="Simplified Arabic" w:cs="Simplified Arabic"/>
          <w:sz w:val="28"/>
          <w:szCs w:val="28"/>
          <w:rtl/>
        </w:rPr>
        <w:t>طلباته .</w:t>
      </w:r>
      <w:proofErr w:type="gramEnd"/>
      <w:r w:rsidRPr="00E565C7">
        <w:rPr>
          <w:rFonts w:ascii="Simplified Arabic" w:eastAsia="Times New Roman" w:hAnsi="Simplified Arabic" w:cs="Simplified Arabic"/>
          <w:sz w:val="28"/>
          <w:szCs w:val="28"/>
          <w:rtl/>
        </w:rPr>
        <w:t xml:space="preserve"> صدور الحكم لغير مصلحته . إقامته طعنا بالنقض فى هذا الحكم . جائز ولو لم يطعن فيه المستأنف .</w:t>
      </w:r>
    </w:p>
    <w:p w:rsidR="00E565C7" w:rsidRPr="00E565C7" w:rsidRDefault="00E565C7" w:rsidP="00E565C7">
      <w:pPr>
        <w:spacing w:after="0" w:line="240" w:lineRule="auto"/>
        <w:jc w:val="lowKashida"/>
        <w:rPr>
          <w:rFonts w:ascii="Simplified Arabic" w:eastAsia="Times New Roman" w:hAnsi="Simplified Arabic" w:cs="Simplified Arabic"/>
          <w:b/>
          <w:bCs/>
          <w:sz w:val="28"/>
          <w:szCs w:val="24"/>
        </w:rPr>
      </w:pPr>
    </w:p>
    <w:p w:rsidR="00E565C7" w:rsidRPr="00E565C7" w:rsidRDefault="00E565C7" w:rsidP="00E565C7">
      <w:pPr>
        <w:spacing w:after="0" w:line="240" w:lineRule="auto"/>
        <w:jc w:val="lowKashida"/>
        <w:rPr>
          <w:rFonts w:ascii="Times New Roman" w:eastAsia="Times New Roman" w:hAnsi="Times New Roman" w:cs="Simplified Arabic"/>
          <w:b/>
          <w:bCs/>
          <w:sz w:val="28"/>
          <w:szCs w:val="24"/>
          <w:rtl/>
        </w:rPr>
      </w:pPr>
    </w:p>
    <w:p w:rsidR="00E565C7" w:rsidRPr="00E565C7" w:rsidRDefault="00E565C7" w:rsidP="00E565C7">
      <w:pPr>
        <w:spacing w:after="0" w:line="240" w:lineRule="auto"/>
        <w:jc w:val="lowKashida"/>
        <w:rPr>
          <w:rFonts w:ascii="Simplified Arabic" w:eastAsia="Times New Roman" w:hAnsi="Simplified Arabic" w:cs="Simplified Arabic"/>
          <w:b/>
          <w:bCs/>
          <w:sz w:val="28"/>
          <w:szCs w:val="24"/>
        </w:rPr>
      </w:pPr>
      <w:r w:rsidRPr="00E565C7">
        <w:rPr>
          <w:rFonts w:ascii="Simplified Arabic" w:eastAsia="Times New Roman" w:hAnsi="Simplified Arabic" w:cs="Simplified Arabic"/>
          <w:b/>
          <w:bCs/>
          <w:sz w:val="32"/>
          <w:szCs w:val="32"/>
          <w:rtl/>
        </w:rPr>
        <w:t xml:space="preserve">(2) </w:t>
      </w:r>
      <w:r w:rsidRPr="00E565C7">
        <w:rPr>
          <w:rFonts w:ascii="Simplified Arabic" w:eastAsia="Times New Roman" w:hAnsi="Simplified Arabic" w:cs="Simplified Arabic"/>
          <w:b/>
          <w:bCs/>
          <w:sz w:val="28"/>
          <w:szCs w:val="24"/>
          <w:rtl/>
        </w:rPr>
        <w:t xml:space="preserve">    </w:t>
      </w:r>
      <w:r w:rsidRPr="00E565C7">
        <w:rPr>
          <w:rFonts w:ascii="Simplified Arabic" w:eastAsia="Times New Roman" w:hAnsi="Simplified Arabic" w:cs="Simplified Arabic"/>
          <w:b/>
          <w:bCs/>
          <w:sz w:val="28"/>
          <w:szCs w:val="28"/>
          <w:rtl/>
        </w:rPr>
        <w:t>إثبات</w:t>
      </w:r>
      <w:r w:rsidRPr="00E565C7">
        <w:rPr>
          <w:rFonts w:ascii="Simplified Arabic" w:eastAsia="Times New Roman" w:hAnsi="Simplified Arabic" w:cs="Simplified Arabic"/>
          <w:b/>
          <w:bCs/>
          <w:sz w:val="28"/>
          <w:szCs w:val="24"/>
          <w:rtl/>
        </w:rPr>
        <w:t xml:space="preserve"> </w:t>
      </w:r>
    </w:p>
    <w:p w:rsidR="00E565C7" w:rsidRPr="00E565C7" w:rsidRDefault="00E565C7" w:rsidP="00E565C7">
      <w:pPr>
        <w:spacing w:after="0" w:line="240" w:lineRule="auto"/>
        <w:jc w:val="lowKashida"/>
        <w:rPr>
          <w:rFonts w:ascii="Times New Roman" w:eastAsia="Times New Roman" w:hAnsi="Times New Roman" w:cs="Simplified Arabic"/>
          <w:sz w:val="28"/>
          <w:szCs w:val="28"/>
          <w:rtl/>
        </w:rPr>
      </w:pPr>
      <w:r w:rsidRPr="00E565C7">
        <w:rPr>
          <w:rFonts w:ascii="Times New Roman" w:eastAsia="Times New Roman" w:hAnsi="Times New Roman" w:cs="Simplified Arabic"/>
          <w:sz w:val="28"/>
          <w:szCs w:val="28"/>
        </w:rPr>
        <w:t>-</w:t>
      </w:r>
      <w:r w:rsidRPr="00E565C7">
        <w:rPr>
          <w:rFonts w:ascii="Simplified Arabic" w:eastAsia="Times New Roman" w:hAnsi="Simplified Arabic" w:cs="Simplified Arabic"/>
          <w:sz w:val="28"/>
          <w:szCs w:val="28"/>
          <w:rtl/>
        </w:rPr>
        <w:t xml:space="preserve"> ادعاء الخصم بأنه متنازل له عن </w:t>
      </w:r>
      <w:proofErr w:type="gramStart"/>
      <w:r w:rsidRPr="00E565C7">
        <w:rPr>
          <w:rFonts w:ascii="Simplified Arabic" w:eastAsia="Times New Roman" w:hAnsi="Simplified Arabic" w:cs="Simplified Arabic"/>
          <w:sz w:val="28"/>
          <w:szCs w:val="28"/>
          <w:rtl/>
        </w:rPr>
        <w:t>الإيجار .</w:t>
      </w:r>
      <w:proofErr w:type="gramEnd"/>
      <w:r w:rsidRPr="00E565C7">
        <w:rPr>
          <w:rFonts w:ascii="Simplified Arabic" w:eastAsia="Times New Roman" w:hAnsi="Simplified Arabic" w:cs="Simplified Arabic"/>
          <w:sz w:val="28"/>
          <w:szCs w:val="28"/>
          <w:rtl/>
        </w:rPr>
        <w:t xml:space="preserve"> عدم تعويل محكمة الموضوع . على الصورة الشمسية لعقد التنازل . لا خطأ .</w:t>
      </w:r>
    </w:p>
    <w:p w:rsidR="00E565C7" w:rsidRPr="00E565C7" w:rsidRDefault="00E565C7" w:rsidP="00E565C7">
      <w:pPr>
        <w:spacing w:after="0" w:line="240" w:lineRule="auto"/>
        <w:jc w:val="lowKashida"/>
        <w:rPr>
          <w:rFonts w:ascii="Simplified Arabic" w:eastAsia="Times New Roman" w:hAnsi="Simplified Arabic" w:cs="Simplified Arabic"/>
          <w:b/>
          <w:bCs/>
          <w:sz w:val="28"/>
          <w:szCs w:val="24"/>
        </w:rPr>
      </w:pPr>
    </w:p>
    <w:p w:rsidR="00E565C7" w:rsidRPr="00E565C7" w:rsidRDefault="00E565C7" w:rsidP="00E565C7">
      <w:pPr>
        <w:spacing w:after="0" w:line="240" w:lineRule="auto"/>
        <w:jc w:val="lowKashida"/>
        <w:rPr>
          <w:rFonts w:ascii="Simplified Arabic" w:eastAsia="Times New Roman" w:hAnsi="Simplified Arabic" w:cs="Simplified Arabic"/>
          <w:b/>
          <w:bCs/>
          <w:sz w:val="28"/>
          <w:szCs w:val="24"/>
          <w:rtl/>
        </w:rPr>
      </w:pPr>
    </w:p>
    <w:p w:rsidR="00E565C7" w:rsidRPr="00E565C7" w:rsidRDefault="00E565C7" w:rsidP="00E565C7">
      <w:pPr>
        <w:spacing w:after="0" w:line="240" w:lineRule="auto"/>
        <w:jc w:val="center"/>
        <w:rPr>
          <w:rFonts w:ascii="Times New Roman" w:eastAsia="Times New Roman" w:hAnsi="Times New Roman" w:cs="PT Bold Heading"/>
          <w:b/>
          <w:bCs/>
          <w:color w:val="008000"/>
          <w:sz w:val="32"/>
          <w:szCs w:val="32"/>
          <w:rtl/>
          <w:lang w:eastAsia="ar-SA"/>
        </w:rPr>
      </w:pPr>
      <w:r w:rsidRPr="00E565C7">
        <w:rPr>
          <w:rFonts w:ascii="Times New Roman" w:eastAsia="Times New Roman" w:hAnsi="Times New Roman" w:cs="PT Bold Heading" w:hint="cs"/>
          <w:b/>
          <w:bCs/>
          <w:color w:val="008000"/>
          <w:sz w:val="32"/>
          <w:szCs w:val="32"/>
          <w:rtl/>
          <w:lang w:eastAsia="ar-SA"/>
        </w:rPr>
        <w:t>القاعدة</w:t>
      </w:r>
    </w:p>
    <w:p w:rsidR="00E565C7" w:rsidRPr="00E565C7" w:rsidRDefault="00E565C7" w:rsidP="00E565C7">
      <w:pPr>
        <w:spacing w:after="0" w:line="240" w:lineRule="auto"/>
        <w:jc w:val="lowKashida"/>
        <w:rPr>
          <w:rFonts w:ascii="Times New Roman" w:eastAsia="Times New Roman" w:hAnsi="Times New Roman" w:cs="Simplified Arabic" w:hint="cs"/>
          <w:sz w:val="28"/>
          <w:szCs w:val="28"/>
          <w:rtl/>
        </w:rPr>
      </w:pPr>
      <w:r w:rsidRPr="00E565C7">
        <w:rPr>
          <w:rFonts w:ascii="Simplified Arabic" w:eastAsia="Times New Roman" w:hAnsi="Simplified Arabic" w:cs="Simplified Arabic"/>
          <w:sz w:val="28"/>
          <w:szCs w:val="28"/>
          <w:rtl/>
        </w:rPr>
        <w:t xml:space="preserve">1- نصت المادة 248 من قانون المرافعات على أن " للخصوم أن يطعنوا أمام محكمة النقض فى الأحكام الصادرة .... " و قد قصدت إلى أنه يجوز الطعن من كل من كان طرفاً فى الخصومة حتى صدور الحكم ضده سواء كان مستأنفاً عليه خصماً أصلياً أو ضماناً لخصم أصلى أو مدخلاً فى الدعوى أو متدخلاً فيها للإختصام أو الإنضمام لأحد طرفى الخصومة فيها ، و لما كان الطاعن قد تدخل منضماً للمستأنفة فى طلباتها و أصبح بذلك طرفاً فى الخصومة و لم يتخل عن منازعته مع خصمه المطعون عليه و صدر الحكم المطعون فيه لمصلحته ضده فى هذه المنازعة و من ثم يكون الطعن من الطاعن جائزاً و يكون الدفع فى غير محله . </w:t>
      </w:r>
    </w:p>
    <w:p w:rsidR="00E565C7" w:rsidRPr="00E565C7" w:rsidRDefault="00E565C7" w:rsidP="00E565C7">
      <w:pPr>
        <w:spacing w:after="0" w:line="240" w:lineRule="auto"/>
        <w:jc w:val="lowKashida"/>
        <w:rPr>
          <w:rFonts w:ascii="Times New Roman" w:eastAsia="Times New Roman" w:hAnsi="Times New Roman" w:cs="Simplified Arabic"/>
          <w:sz w:val="28"/>
          <w:szCs w:val="28"/>
        </w:rPr>
      </w:pPr>
    </w:p>
    <w:p w:rsidR="00E565C7" w:rsidRPr="00E565C7" w:rsidRDefault="00E565C7" w:rsidP="00E565C7">
      <w:pPr>
        <w:spacing w:after="0" w:line="240" w:lineRule="auto"/>
        <w:jc w:val="lowKashida"/>
        <w:rPr>
          <w:rFonts w:ascii="Times New Roman" w:eastAsia="Times New Roman" w:hAnsi="Times New Roman" w:cs="Simplified Arabic"/>
          <w:sz w:val="28"/>
          <w:szCs w:val="28"/>
        </w:rPr>
      </w:pPr>
      <w:r w:rsidRPr="00E565C7">
        <w:rPr>
          <w:rFonts w:ascii="Simplified Arabic" w:eastAsia="Times New Roman" w:hAnsi="Simplified Arabic" w:cs="Simplified Arabic"/>
          <w:sz w:val="28"/>
          <w:szCs w:val="28"/>
          <w:rtl/>
        </w:rPr>
        <w:t xml:space="preserve">2- إذ كان الحكم المطعون فيه قد أقام قضاءه على أن الطاعن مستأجر من الباطن ينتهى عقد الإيجار الصادر له بإنتهاء عقد إيجار المستأجرة المؤجرة له بوفاتها و كان الطاعن لم يقدم صورة رسمية من المذكرة المقدمة منه لمحكمة الإستئناف و التى يدعى أنه تمسك فيها بتنازل المستأجرة له عن عقد الإيجار كما أنه لم يقدم لتلك المحكمة سوى صورة فوتوغرافية من التنازل المدعى صدوره له عن عقد إيجار شقة النزاع ، و هى صورة لمحرر عرفى لا يعتد بها فى الإثبات لأن المحرر العرفى يكون حجة فى الإثبات بالتوقيع عليه ممن يشهد عليه المحرر ، فلا تثريب على المحكمة إذا هى لم تر الأخذ بهذه الصورة بما يكون معه النعى على غير أساس . </w:t>
      </w:r>
    </w:p>
    <w:p w:rsidR="00E565C7" w:rsidRPr="00E565C7" w:rsidRDefault="00E565C7" w:rsidP="00E565C7">
      <w:pPr>
        <w:spacing w:after="0" w:line="240" w:lineRule="auto"/>
        <w:jc w:val="lowKashida"/>
        <w:rPr>
          <w:rFonts w:ascii="Times New Roman" w:eastAsia="Times New Roman" w:hAnsi="Times New Roman" w:cs="Simplified Arabic"/>
          <w:sz w:val="28"/>
          <w:szCs w:val="28"/>
        </w:rPr>
      </w:pPr>
    </w:p>
    <w:p w:rsidR="00E565C7" w:rsidRPr="00E565C7" w:rsidRDefault="00E565C7" w:rsidP="00E565C7">
      <w:pPr>
        <w:spacing w:after="0" w:line="240" w:lineRule="auto"/>
        <w:jc w:val="center"/>
        <w:rPr>
          <w:rFonts w:ascii="Times New Roman" w:eastAsia="Times New Roman" w:hAnsi="Times New Roman" w:cs="Simplified Arabic"/>
          <w:sz w:val="24"/>
          <w:szCs w:val="24"/>
        </w:rPr>
      </w:pPr>
      <w:r w:rsidRPr="00E565C7">
        <w:rPr>
          <w:rFonts w:ascii="Simplified Arabic" w:eastAsia="Times New Roman" w:hAnsi="Simplified Arabic" w:cs="Simplified Arabic"/>
          <w:sz w:val="24"/>
          <w:szCs w:val="24"/>
          <w:rtl/>
        </w:rPr>
        <w:lastRenderedPageBreak/>
        <w:t>" سنة المكتب الفنى "  30 " رقم الصفحة - 253  -  قاعدة رقم –   -  "</w:t>
      </w:r>
    </w:p>
    <w:p w:rsidR="00E565C7" w:rsidRPr="00E565C7" w:rsidRDefault="00E565C7" w:rsidP="00E565C7">
      <w:pPr>
        <w:spacing w:after="0" w:line="240" w:lineRule="auto"/>
        <w:rPr>
          <w:rFonts w:ascii="Times New Roman" w:eastAsia="Times New Roman" w:hAnsi="Times New Roman" w:cs="Times New Roman"/>
          <w:sz w:val="24"/>
          <w:szCs w:val="24"/>
        </w:rPr>
      </w:pPr>
    </w:p>
    <w:p w:rsidR="006173AA" w:rsidRPr="00E565C7" w:rsidRDefault="006173AA">
      <w:bookmarkStart w:id="0" w:name="_GoBack"/>
      <w:bookmarkEnd w:id="0"/>
    </w:p>
    <w:sectPr w:rsidR="006173AA" w:rsidRPr="00E565C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14"/>
    <w:rsid w:val="0003272B"/>
    <w:rsid w:val="006173AA"/>
    <w:rsid w:val="00E10914"/>
    <w:rsid w:val="00E56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2020-06-08T10:04:00Z</dcterms:created>
  <dcterms:modified xsi:type="dcterms:W3CDTF">2020-06-08T10:04:00Z</dcterms:modified>
</cp:coreProperties>
</file>