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C5" w:rsidRPr="00B55AC5" w:rsidRDefault="00B55AC5" w:rsidP="00B55AC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55AC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931  لسنة 45 ق </w:t>
      </w:r>
      <w:r w:rsidRPr="00B55AC5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B55AC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5-5-1979</w:t>
      </w:r>
    </w:p>
    <w:p w:rsidR="00B55AC5" w:rsidRPr="00B55AC5" w:rsidRDefault="00B55AC5" w:rsidP="00B55AC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B55AC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B55AC5" w:rsidRPr="00B55AC5" w:rsidRDefault="00B55AC5" w:rsidP="00B55AC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B55AC5" w:rsidRPr="00B55AC5" w:rsidRDefault="00B55AC5" w:rsidP="00B55AC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  <w:r w:rsidRPr="00B55AC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إيجار  - قانون  - دستور </w:t>
      </w:r>
    </w:p>
    <w:p w:rsidR="00B55AC5" w:rsidRPr="00B55AC5" w:rsidRDefault="00B55AC5" w:rsidP="00B55AC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B55AC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B55AC5" w:rsidRPr="00B55AC5" w:rsidRDefault="00B55AC5" w:rsidP="00B55AC5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B55AC5">
        <w:rPr>
          <w:rFonts w:ascii="Simplified Arabic" w:eastAsia="Times New Roman" w:hAnsi="Simplified Arabic" w:cs="Simplified Arabic"/>
          <w:sz w:val="28"/>
          <w:szCs w:val="28"/>
          <w:rtl/>
        </w:rPr>
        <w:t>1- النص فى المادة 26 من القانون رقم 52 لسنة 1969  فى شأن إيجار الأماكن و تنظيم العلاقة بين المؤجرين و المستأجرين يدل - و على ما جرى به قضاء هذه المحكمه - على أنه و قد تضمن حكم الفقرة الأولى من هذه المادة قيدين على حق التأجير مفروشاً ، هما حرمان المستأجر من هذا التأجير و حرمان المالك من تأجير أكثر من شقة واحدة فى عقاره ، فإن مؤدى الإستثناء من حكم هذه الفقرة - و المنصوص عليه فى الفقرة الثالثة من نفس المادة - هو التحلل من هذين القيدين معاً ، فيحق للمالك تأجير أكثر من شقة كما يحق للمستأجر تأجير شقته ، و بذلك يكون مقتضى الحكم الوارد فى الفقرة الثالثة من المادة 26 سالفة الذكر هو الإذن للملاك و المستأجرين على السواء بالتأجير مفروشاً للأغراض السياحية و ما فى حكمها فى الحدود المبينة بقرارى وزير الإسكان و المرافق رقمى 486 ،487 لسنة 1970 الصادرين تنفيذاً لحكم ذلك القانون .</w:t>
      </w:r>
    </w:p>
    <w:p w:rsidR="00B55AC5" w:rsidRPr="00B55AC5" w:rsidRDefault="00B55AC5" w:rsidP="00B55A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55AC5" w:rsidRPr="00B55AC5" w:rsidRDefault="00B55AC5" w:rsidP="00B55A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55AC5">
        <w:rPr>
          <w:rFonts w:ascii="Simplified Arabic" w:eastAsia="Times New Roman" w:hAnsi="Simplified Arabic" w:cs="Simplified Arabic"/>
          <w:sz w:val="28"/>
          <w:szCs w:val="28"/>
          <w:rtl/>
        </w:rPr>
        <w:t>2- من المقرر أنه إذا دلت عبارة النص التشريعى أو إشارته على إتجاه قصد المشرع من تقرير القاعدة القانونية الواردة به إلى تنظيم وضع بذاته على نحو محدد لا يجوز الخروج عليه ، إلتزاماً بمقتضيات الصالح العام ، و ترجيحاً لها على ما قد يكون لبعض الأفراد من مصالح خاصة مغايرة ، فإن هذه القاعدة تعتبرمن القواعد الآمرة المتعلقة بالنظام العام .</w:t>
      </w:r>
    </w:p>
    <w:p w:rsidR="00B55AC5" w:rsidRPr="00B55AC5" w:rsidRDefault="00B55AC5" w:rsidP="00B55A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55AC5" w:rsidRPr="00B55AC5" w:rsidRDefault="00B55AC5" w:rsidP="00B55A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55AC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3- عبارة النص فى المادة 26 من القانون رقم 52 لسنة 1969 - بما إشتمل عليه من ألفاظ التقييد و التحديد - و الغرض من وضعه حسبما أفصحت عنه مذكرتة الإيضاحية يقولها " رغبة فى تنظيم عملية تأجير الشقق المفروشة لما لتوافر عدد منها من أهميه خاصة فقد نص المشرع ..... على قصر حق التأجير على الملاك دون سواهم و رغبة فى ضمان حق بعض المستأجرين الذين يتركون مساكنهم .......... و الإستفاده من تلك المساكن أثناء تغيبهم ... ... و إستثناء من ذلك أجاز المشرع .......... وضع القواعد المنظمة لتأجير وحدات سكنية مفروشة لأغراض السياحة و غيرها من الأغراض و ذلك تحقيقاً للمرونة و لمواجهة كافة التطورات و الأغراض الطلابية و العمالية "، يدل على أن المشرع رأى أن يتولى بنفسه تنظيم تأجير الأماكن المفروشة على النحو الذى رآه محققاً للصالح العام أن يترك للملاك أو المستأجرين خيار فى </w:t>
      </w:r>
      <w:r w:rsidRPr="00B55AC5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تحديد الحالات أو الأغراض التى يجوز لهم فيها ذلك ، و كانت المادة 44 من ذلك القانون قد رتبت عقوبة جنائية على مخالفة حكم المادة 26 آنفه الذكر ، فإن القواعد المقررة بهذا النص تكون متعلقة بالنظام العام مما لا يجوز معه الإتفاق على ما يخالفها ، و لما كان قرار وزير الإسكان و المرافق رقم 486 لسنة 1970 صدر تنفيذاً لحكم المادة 26 المشار إليها ، فإنه يستمد منها قوته و تكون أحكامه بذلك متعلقة مثله بالنظام العام .</w:t>
      </w:r>
    </w:p>
    <w:p w:rsidR="00B55AC5" w:rsidRPr="00B55AC5" w:rsidRDefault="00B55AC5" w:rsidP="00B55A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55AC5" w:rsidRPr="00B55AC5" w:rsidRDefault="00B55AC5" w:rsidP="00B55A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55AC5">
        <w:rPr>
          <w:rFonts w:ascii="Simplified Arabic" w:eastAsia="Times New Roman" w:hAnsi="Simplified Arabic" w:cs="Simplified Arabic"/>
          <w:sz w:val="28"/>
          <w:szCs w:val="28"/>
          <w:rtl/>
        </w:rPr>
        <w:t>4- من الأصول الدستورية المقررة أن أحكام القرار لا تسرى إلا على ما يقع من تاريخ العمل بها ، و أنه لا يترتب عليها أثر فيما وقع قبلها ، مما مؤداه عدم جواز إنسحاب أثر القانون الجديد على ما يكون قد وقع قبل العمل به من تصرفات أو تحقق من أوضاع ، إذ يحكم هذه و تلك القانون الذى كان معمولاً به وقت وقوعها إعمالاً لمبدأ عدم رجعيه القوانين ، إلا أن ذلك لا ينتقص من سريان أحكام القانون الجديد على ما يقع منذ العمل به من تصرفات أو يتحقق من أوضاع و لو كانت مستندة إلى علاقات سابقة عليه ، إعمالاً لمبدأ الأثر المباشر للقانون ، هذا و لئن كان من المقرر ، إستثناء من هذا المبدأ الأخير ، تحقيقاً للإستقرار فى العلاقات التعاقدية ، و تأكيداً لمبدأ سلطان الإرادة فى نطاق المشروعية ، سريان أحكام القانون الذى أبرم العقد فى ظله على ما يتولد عنه من آثار مستقبلة و لو أدركها قانون جديد ، إلا إن ذلك مقيد بعدم تعلق قواعد هذا القانون الجديد بالنظام العام ، أما حيث تتعلق به فإنها تسرى بأثر فورى مباشر على ما يقع منذ العمل به من تصرفات أو ينشأ من أوضاع بغض النظر عن تاريخ العقد الذى تستند إليه .</w:t>
      </w:r>
    </w:p>
    <w:p w:rsidR="00B55AC5" w:rsidRPr="00B55AC5" w:rsidRDefault="00B55AC5" w:rsidP="00B55A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55AC5" w:rsidRPr="00B55AC5" w:rsidRDefault="00B55AC5" w:rsidP="00B55A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B55AC5">
        <w:rPr>
          <w:rFonts w:ascii="Simplified Arabic" w:eastAsia="Times New Roman" w:hAnsi="Simplified Arabic" w:cs="Simplified Arabic"/>
          <w:sz w:val="28"/>
          <w:szCs w:val="28"/>
          <w:rtl/>
        </w:rPr>
        <w:t>5- لما كانت واقعة التأجير مفروشاً قد وقعت فى ظل القانون 52 لسنة 1969 ، و كانت المادة 26 منه و القرار الوزارى رقم 486 لسنة 1970 الصادر تنفيذاً لها متعلقين بالنظام العام ، بغض النظر عن أن عقد الإيجار الأصلى قد أبرم فى 1961-7-1 قبل صدور ذلك القانون ، و كان الحكم المطعون فيه أنزل حكم القانون المذكور على واقعة الدعوى فإنه  لا  يكون قد أعمل قانوناً جديداً على واقعة سابقاً عليه إخلالاً بقاعدة عدم رجعيه القوانين .</w:t>
      </w:r>
    </w:p>
    <w:p w:rsidR="00B55AC5" w:rsidRPr="00B55AC5" w:rsidRDefault="00B55AC5" w:rsidP="00B55AC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B55AC5" w:rsidRPr="00B55AC5" w:rsidRDefault="00B55AC5" w:rsidP="00B55AC5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B55AC5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-  قاعدة رقم –   -  "</w:t>
      </w:r>
    </w:p>
    <w:p w:rsidR="00B55AC5" w:rsidRPr="00B55AC5" w:rsidRDefault="00B55AC5" w:rsidP="00B55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B55AC5" w:rsidRDefault="006173AA">
      <w:bookmarkStart w:id="0" w:name="_GoBack"/>
      <w:bookmarkEnd w:id="0"/>
    </w:p>
    <w:sectPr w:rsidR="006173AA" w:rsidRPr="00B55AC5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D1"/>
    <w:rsid w:val="0003272B"/>
    <w:rsid w:val="006173AA"/>
    <w:rsid w:val="00B55AC5"/>
    <w:rsid w:val="00E5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2020-06-08T09:39:00Z</dcterms:created>
  <dcterms:modified xsi:type="dcterms:W3CDTF">2020-06-08T09:39:00Z</dcterms:modified>
</cp:coreProperties>
</file>