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04B" w:rsidRPr="0021204B" w:rsidRDefault="0021204B" w:rsidP="0021204B">
      <w:pPr>
        <w:spacing w:after="0" w:line="240" w:lineRule="auto"/>
        <w:jc w:val="center"/>
        <w:rPr>
          <w:rFonts w:ascii="Times New Roman" w:eastAsia="Times New Roman" w:hAnsi="Times New Roman" w:cs="PT Bold Heading"/>
          <w:b/>
          <w:bCs/>
          <w:color w:val="008000"/>
          <w:sz w:val="32"/>
          <w:szCs w:val="32"/>
          <w:lang w:eastAsia="ar-SA"/>
        </w:rPr>
      </w:pPr>
      <w:r w:rsidRPr="0021204B">
        <w:rPr>
          <w:rFonts w:ascii="Times New Roman" w:eastAsia="Times New Roman" w:hAnsi="Times New Roman" w:cs="PT Bold Heading" w:hint="cs"/>
          <w:b/>
          <w:bCs/>
          <w:color w:val="008000"/>
          <w:sz w:val="32"/>
          <w:szCs w:val="32"/>
          <w:rtl/>
          <w:lang w:eastAsia="ar-SA"/>
        </w:rPr>
        <w:t xml:space="preserve">الطعن رقم 770 لسنة 43 ق </w:t>
      </w:r>
      <w:r w:rsidRPr="0021204B">
        <w:rPr>
          <w:rFonts w:ascii="Times New Roman" w:eastAsia="Times New Roman" w:hAnsi="Times New Roman" w:cs="Times New Roman" w:hint="cs"/>
          <w:b/>
          <w:bCs/>
          <w:color w:val="008000"/>
          <w:sz w:val="32"/>
          <w:szCs w:val="32"/>
          <w:rtl/>
          <w:lang w:eastAsia="ar-SA"/>
        </w:rPr>
        <w:t>-</w:t>
      </w:r>
      <w:r w:rsidRPr="0021204B">
        <w:rPr>
          <w:rFonts w:ascii="Times New Roman" w:eastAsia="Times New Roman" w:hAnsi="Times New Roman" w:cs="PT Bold Heading" w:hint="cs"/>
          <w:b/>
          <w:bCs/>
          <w:color w:val="008000"/>
          <w:sz w:val="32"/>
          <w:szCs w:val="32"/>
          <w:rtl/>
          <w:lang w:eastAsia="ar-SA"/>
        </w:rPr>
        <w:t xml:space="preserve"> جلسة 22-12-1979</w:t>
      </w:r>
    </w:p>
    <w:p w:rsidR="0021204B" w:rsidRPr="0021204B" w:rsidRDefault="0021204B" w:rsidP="0021204B">
      <w:pPr>
        <w:spacing w:after="0" w:line="240" w:lineRule="auto"/>
        <w:jc w:val="center"/>
        <w:rPr>
          <w:rFonts w:ascii="Times New Roman" w:eastAsia="Times New Roman" w:hAnsi="Times New Roman" w:cs="PT Bold Heading"/>
          <w:b/>
          <w:bCs/>
          <w:color w:val="008000"/>
          <w:sz w:val="32"/>
          <w:szCs w:val="32"/>
          <w:lang w:eastAsia="ar-SA"/>
        </w:rPr>
      </w:pPr>
      <w:r w:rsidRPr="0021204B">
        <w:rPr>
          <w:rFonts w:ascii="Times New Roman" w:eastAsia="Times New Roman" w:hAnsi="Times New Roman" w:cs="PT Bold Heading" w:hint="cs"/>
          <w:b/>
          <w:bCs/>
          <w:color w:val="008000"/>
          <w:sz w:val="32"/>
          <w:szCs w:val="32"/>
          <w:rtl/>
          <w:lang w:eastAsia="ar-SA"/>
        </w:rPr>
        <w:t>الموضوع ،  و  الموجز :</w:t>
      </w:r>
    </w:p>
    <w:p w:rsidR="0021204B" w:rsidRPr="0021204B" w:rsidRDefault="0021204B" w:rsidP="0021204B">
      <w:pPr>
        <w:spacing w:after="0" w:line="240" w:lineRule="auto"/>
        <w:jc w:val="lowKashida"/>
        <w:rPr>
          <w:rFonts w:ascii="Times New Roman" w:eastAsia="Times New Roman" w:hAnsi="Times New Roman" w:cs="Simplified Arabic"/>
          <w:b/>
          <w:bCs/>
          <w:sz w:val="32"/>
          <w:szCs w:val="32"/>
        </w:rPr>
      </w:pPr>
    </w:p>
    <w:p w:rsidR="0021204B" w:rsidRPr="0021204B" w:rsidRDefault="0021204B" w:rsidP="0021204B">
      <w:pPr>
        <w:spacing w:after="0" w:line="240" w:lineRule="auto"/>
        <w:jc w:val="lowKashida"/>
        <w:rPr>
          <w:rFonts w:ascii="Times New Roman" w:eastAsia="Times New Roman" w:hAnsi="Times New Roman" w:cs="Simplified Arabic"/>
          <w:b/>
          <w:bCs/>
          <w:sz w:val="28"/>
          <w:szCs w:val="28"/>
        </w:rPr>
      </w:pPr>
      <w:r w:rsidRPr="0021204B">
        <w:rPr>
          <w:rFonts w:ascii="Simplified Arabic" w:eastAsia="Times New Roman" w:hAnsi="Simplified Arabic" w:cs="Simplified Arabic"/>
          <w:b/>
          <w:bCs/>
          <w:sz w:val="32"/>
          <w:szCs w:val="32"/>
          <w:rtl/>
        </w:rPr>
        <w:t xml:space="preserve">(1) </w:t>
      </w:r>
      <w:r w:rsidRPr="0021204B">
        <w:rPr>
          <w:rFonts w:ascii="Simplified Arabic" w:eastAsia="Times New Roman" w:hAnsi="Simplified Arabic" w:cs="Simplified Arabic"/>
          <w:b/>
          <w:bCs/>
          <w:sz w:val="28"/>
          <w:szCs w:val="24"/>
          <w:rtl/>
        </w:rPr>
        <w:t xml:space="preserve">   </w:t>
      </w:r>
      <w:r w:rsidRPr="0021204B">
        <w:rPr>
          <w:rFonts w:ascii="Simplified Arabic" w:eastAsia="Times New Roman" w:hAnsi="Simplified Arabic" w:cs="Simplified Arabic"/>
          <w:b/>
          <w:bCs/>
          <w:sz w:val="28"/>
          <w:szCs w:val="28"/>
          <w:rtl/>
        </w:rPr>
        <w:t xml:space="preserve">عمل </w:t>
      </w:r>
    </w:p>
    <w:p w:rsidR="0021204B" w:rsidRPr="0021204B" w:rsidRDefault="0021204B" w:rsidP="0021204B">
      <w:pPr>
        <w:spacing w:after="0" w:line="240" w:lineRule="auto"/>
        <w:jc w:val="lowKashida"/>
        <w:rPr>
          <w:rFonts w:ascii="Times New Roman" w:eastAsia="Times New Roman" w:hAnsi="Times New Roman" w:cs="Simplified Arabic"/>
          <w:sz w:val="28"/>
          <w:szCs w:val="28"/>
        </w:rPr>
      </w:pPr>
      <w:r w:rsidRPr="0021204B">
        <w:rPr>
          <w:rFonts w:ascii="Times New Roman" w:eastAsia="Times New Roman" w:hAnsi="Times New Roman" w:cs="Simplified Arabic"/>
          <w:sz w:val="28"/>
          <w:szCs w:val="28"/>
        </w:rPr>
        <w:t>-</w:t>
      </w:r>
      <w:r w:rsidRPr="0021204B">
        <w:rPr>
          <w:rFonts w:ascii="Simplified Arabic" w:eastAsia="Times New Roman" w:hAnsi="Simplified Arabic" w:cs="Simplified Arabic"/>
          <w:sz w:val="28"/>
          <w:szCs w:val="28"/>
          <w:rtl/>
        </w:rPr>
        <w:t xml:space="preserve"> قرارات الحفظ الصادرة من النيابة أيا كان سببها لا حجية لها رأي اللجنة الثلاثية رأى إستشارى جواز إستنباط القرائن من أقوال الشهود فى تحقيقات النيابة ورأى اللجنة الثلاثية لإثبات مبرر فصل </w:t>
      </w:r>
      <w:proofErr w:type="gramStart"/>
      <w:r w:rsidRPr="0021204B">
        <w:rPr>
          <w:rFonts w:ascii="Simplified Arabic" w:eastAsia="Times New Roman" w:hAnsi="Simplified Arabic" w:cs="Simplified Arabic"/>
          <w:sz w:val="28"/>
          <w:szCs w:val="28"/>
          <w:rtl/>
        </w:rPr>
        <w:t>العامل .</w:t>
      </w:r>
      <w:proofErr w:type="gramEnd"/>
    </w:p>
    <w:p w:rsidR="0021204B" w:rsidRPr="0021204B" w:rsidRDefault="0021204B" w:rsidP="0021204B">
      <w:pPr>
        <w:spacing w:after="0" w:line="240" w:lineRule="auto"/>
        <w:jc w:val="lowKashida"/>
        <w:rPr>
          <w:rFonts w:ascii="Simplified Arabic" w:eastAsia="Times New Roman" w:hAnsi="Simplified Arabic" w:cs="Simplified Arabic"/>
          <w:b/>
          <w:bCs/>
          <w:sz w:val="28"/>
          <w:szCs w:val="24"/>
        </w:rPr>
      </w:pPr>
    </w:p>
    <w:p w:rsidR="0021204B" w:rsidRPr="0021204B" w:rsidRDefault="0021204B" w:rsidP="0021204B">
      <w:pPr>
        <w:spacing w:after="0" w:line="240" w:lineRule="auto"/>
        <w:jc w:val="lowKashida"/>
        <w:rPr>
          <w:rFonts w:ascii="Times New Roman" w:eastAsia="Times New Roman" w:hAnsi="Times New Roman" w:cs="Simplified Arabic"/>
          <w:b/>
          <w:bCs/>
          <w:sz w:val="28"/>
          <w:szCs w:val="24"/>
          <w:rtl/>
        </w:rPr>
      </w:pPr>
    </w:p>
    <w:p w:rsidR="0021204B" w:rsidRPr="0021204B" w:rsidRDefault="0021204B" w:rsidP="0021204B">
      <w:pPr>
        <w:spacing w:after="0" w:line="240" w:lineRule="auto"/>
        <w:jc w:val="center"/>
        <w:rPr>
          <w:rFonts w:ascii="Times New Roman" w:eastAsia="Times New Roman" w:hAnsi="Times New Roman" w:cs="PT Bold Heading"/>
          <w:b/>
          <w:bCs/>
          <w:color w:val="008000"/>
          <w:sz w:val="32"/>
          <w:szCs w:val="32"/>
          <w:lang w:eastAsia="ar-SA"/>
        </w:rPr>
      </w:pPr>
      <w:r w:rsidRPr="0021204B">
        <w:rPr>
          <w:rFonts w:ascii="Times New Roman" w:eastAsia="Times New Roman" w:hAnsi="Times New Roman" w:cs="PT Bold Heading" w:hint="cs"/>
          <w:b/>
          <w:bCs/>
          <w:color w:val="008000"/>
          <w:sz w:val="32"/>
          <w:szCs w:val="32"/>
          <w:rtl/>
          <w:lang w:eastAsia="ar-SA"/>
        </w:rPr>
        <w:t>القاعدة</w:t>
      </w:r>
    </w:p>
    <w:p w:rsidR="0021204B" w:rsidRPr="0021204B" w:rsidRDefault="0021204B" w:rsidP="0021204B">
      <w:pPr>
        <w:spacing w:after="0" w:line="240" w:lineRule="auto"/>
        <w:jc w:val="lowKashida"/>
        <w:rPr>
          <w:rFonts w:ascii="Times New Roman" w:eastAsia="Times New Roman" w:hAnsi="Times New Roman" w:cs="Simplified Arabic" w:hint="cs"/>
          <w:sz w:val="28"/>
          <w:szCs w:val="28"/>
          <w:rtl/>
        </w:rPr>
      </w:pPr>
      <w:r w:rsidRPr="0021204B">
        <w:rPr>
          <w:rFonts w:ascii="Simplified Arabic" w:eastAsia="Times New Roman" w:hAnsi="Simplified Arabic" w:cs="Simplified Arabic"/>
          <w:sz w:val="28"/>
          <w:szCs w:val="28"/>
          <w:rtl/>
        </w:rPr>
        <w:t xml:space="preserve">1- قرارات الحفظ الصادرة من النيابة أياً كان سببها - و على ما جرى عليه قضاء هذه المحكمة - لا تحوز قوة الأمر المقضى و كان رأى اللجنة الثلاثية إستشارياً فإن ذلك لا يحول دون إستنباط قاضى الموضوع منها القرائن المؤدية إلى ثبوت الواقعة المنسوبة للعامل . و إذن فمتى كان الحكم المطعون فيه إستند فى ثبوت تهمة الإختلاس المنسوبة للطاعن إلى أقوال الشهود الذين سمعتهم النيابة العامة فى التحقيقات المنسوبة للطاعن إلى أقوال الشهود الذين سمعتهم النيابة العامة فى التحقيقات و موافقة اللجنة الثلاثية على الفصل - و هى من واقع الدعوى و الأوراق المقدمة فيها - تؤدى إلى ما إنتهى إليه فإن هذا النعى يكون على غير أساس . </w:t>
      </w:r>
    </w:p>
    <w:p w:rsidR="0021204B" w:rsidRPr="0021204B" w:rsidRDefault="0021204B" w:rsidP="0021204B">
      <w:pPr>
        <w:spacing w:after="0" w:line="240" w:lineRule="auto"/>
        <w:jc w:val="center"/>
        <w:rPr>
          <w:rFonts w:ascii="Tahoma" w:eastAsia="Times New Roman" w:hAnsi="Tahoma" w:cs="Tahoma"/>
          <w:sz w:val="20"/>
          <w:szCs w:val="20"/>
        </w:rPr>
      </w:pPr>
    </w:p>
    <w:p w:rsidR="0021204B" w:rsidRPr="0021204B" w:rsidRDefault="0021204B" w:rsidP="0021204B">
      <w:pPr>
        <w:spacing w:after="0" w:line="240" w:lineRule="auto"/>
        <w:jc w:val="center"/>
        <w:rPr>
          <w:rFonts w:ascii="Times New Roman" w:eastAsia="Times New Roman" w:hAnsi="Times New Roman" w:cs="Simplified Arabic"/>
          <w:sz w:val="24"/>
          <w:szCs w:val="24"/>
          <w:rtl/>
        </w:rPr>
      </w:pPr>
      <w:r w:rsidRPr="0021204B">
        <w:rPr>
          <w:rFonts w:ascii="Simplified Arabic" w:eastAsia="Times New Roman" w:hAnsi="Simplified Arabic" w:cs="Simplified Arabic"/>
          <w:sz w:val="24"/>
          <w:szCs w:val="24"/>
          <w:rtl/>
        </w:rPr>
        <w:t>" سنة المكتب الفنى "  30 " رقم الصفحة -   357-  قاعدة رقم –   -  "</w:t>
      </w:r>
    </w:p>
    <w:p w:rsidR="0021204B" w:rsidRPr="0021204B" w:rsidRDefault="0021204B" w:rsidP="0021204B">
      <w:pPr>
        <w:spacing w:after="0" w:line="240" w:lineRule="auto"/>
        <w:rPr>
          <w:rFonts w:ascii="Times New Roman" w:eastAsia="Times New Roman" w:hAnsi="Times New Roman" w:cs="Times New Roman"/>
          <w:sz w:val="24"/>
          <w:szCs w:val="24"/>
        </w:rPr>
      </w:pPr>
    </w:p>
    <w:p w:rsidR="006173AA" w:rsidRPr="0021204B" w:rsidRDefault="006173AA">
      <w:bookmarkStart w:id="0" w:name="_GoBack"/>
      <w:bookmarkEnd w:id="0"/>
    </w:p>
    <w:sectPr w:rsidR="006173AA" w:rsidRPr="0021204B"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C96"/>
    <w:rsid w:val="0003272B"/>
    <w:rsid w:val="0021204B"/>
    <w:rsid w:val="006173AA"/>
    <w:rsid w:val="00B10C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80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2020-06-08T10:23:00Z</dcterms:created>
  <dcterms:modified xsi:type="dcterms:W3CDTF">2020-06-08T10:23:00Z</dcterms:modified>
</cp:coreProperties>
</file>