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5D" w:rsidRPr="0082685D" w:rsidRDefault="0082685D" w:rsidP="0082685D">
      <w:pPr>
        <w:spacing w:after="0" w:line="240" w:lineRule="auto"/>
        <w:jc w:val="center"/>
        <w:rPr>
          <w:rFonts w:ascii="Times New Roman" w:eastAsia="Times New Roman" w:hAnsi="Times New Roman" w:cs="PT Bold Heading"/>
          <w:b/>
          <w:bCs/>
          <w:color w:val="008000"/>
          <w:sz w:val="32"/>
          <w:szCs w:val="32"/>
          <w:lang w:eastAsia="ar-SA"/>
        </w:rPr>
      </w:pPr>
      <w:r w:rsidRPr="0082685D">
        <w:rPr>
          <w:rFonts w:ascii="Times New Roman" w:eastAsia="Times New Roman" w:hAnsi="Times New Roman" w:cs="PT Bold Heading" w:hint="cs"/>
          <w:b/>
          <w:bCs/>
          <w:color w:val="008000"/>
          <w:sz w:val="32"/>
          <w:szCs w:val="32"/>
          <w:rtl/>
          <w:lang w:eastAsia="ar-SA"/>
        </w:rPr>
        <w:t xml:space="preserve">الطعن رقم </w:t>
      </w:r>
      <w:r w:rsidRPr="0082685D">
        <w:rPr>
          <w:rFonts w:ascii="Times New Roman" w:eastAsia="Times New Roman" w:hAnsi="Times New Roman" w:cs="PT Bold Heading"/>
          <w:b/>
          <w:bCs/>
          <w:color w:val="008000"/>
          <w:sz w:val="32"/>
          <w:szCs w:val="32"/>
          <w:lang w:eastAsia="ar-SA"/>
        </w:rPr>
        <w:t xml:space="preserve">740 </w:t>
      </w:r>
      <w:r w:rsidRPr="0082685D">
        <w:rPr>
          <w:rFonts w:ascii="Times New Roman" w:eastAsia="Times New Roman" w:hAnsi="Times New Roman" w:cs="PT Bold Heading" w:hint="cs"/>
          <w:b/>
          <w:bCs/>
          <w:color w:val="008000"/>
          <w:sz w:val="32"/>
          <w:szCs w:val="32"/>
          <w:rtl/>
          <w:lang w:eastAsia="ar-SA"/>
        </w:rPr>
        <w:t xml:space="preserve">لسنة </w:t>
      </w:r>
      <w:r w:rsidRPr="0082685D">
        <w:rPr>
          <w:rFonts w:ascii="Times New Roman" w:eastAsia="Times New Roman" w:hAnsi="Times New Roman" w:cs="PT Bold Heading"/>
          <w:b/>
          <w:bCs/>
          <w:color w:val="008000"/>
          <w:sz w:val="32"/>
          <w:szCs w:val="32"/>
          <w:lang w:eastAsia="ar-SA"/>
        </w:rPr>
        <w:t xml:space="preserve">46 </w:t>
      </w:r>
      <w:r w:rsidRPr="0082685D">
        <w:rPr>
          <w:rFonts w:ascii="Times New Roman" w:eastAsia="Times New Roman" w:hAnsi="Times New Roman" w:cs="PT Bold Heading" w:hint="cs"/>
          <w:b/>
          <w:bCs/>
          <w:color w:val="008000"/>
          <w:sz w:val="32"/>
          <w:szCs w:val="32"/>
          <w:rtl/>
          <w:lang w:eastAsia="ar-SA"/>
        </w:rPr>
        <w:t xml:space="preserve">ق ، جلسة </w:t>
      </w:r>
      <w:r w:rsidRPr="0082685D">
        <w:rPr>
          <w:rFonts w:ascii="Times New Roman" w:eastAsia="Times New Roman" w:hAnsi="Times New Roman" w:cs="PT Bold Heading"/>
          <w:b/>
          <w:bCs/>
          <w:color w:val="008000"/>
          <w:sz w:val="32"/>
          <w:szCs w:val="32"/>
          <w:lang w:eastAsia="ar-SA"/>
        </w:rPr>
        <w:t xml:space="preserve">1979-12-6 </w:t>
      </w:r>
    </w:p>
    <w:p w:rsidR="0082685D" w:rsidRPr="0082685D" w:rsidRDefault="0082685D" w:rsidP="0082685D">
      <w:pPr>
        <w:spacing w:after="0" w:line="240" w:lineRule="auto"/>
        <w:jc w:val="center"/>
        <w:rPr>
          <w:rFonts w:ascii="Times New Roman" w:eastAsia="Times New Roman" w:hAnsi="Times New Roman" w:cs="PT Bold Heading" w:hint="cs"/>
          <w:b/>
          <w:bCs/>
          <w:color w:val="008000"/>
          <w:sz w:val="32"/>
          <w:szCs w:val="32"/>
          <w:rtl/>
          <w:lang w:eastAsia="ar-SA"/>
        </w:rPr>
      </w:pPr>
      <w:r w:rsidRPr="0082685D">
        <w:rPr>
          <w:rFonts w:ascii="Times New Roman" w:eastAsia="Times New Roman" w:hAnsi="Times New Roman" w:cs="PT Bold Heading" w:hint="cs"/>
          <w:b/>
          <w:bCs/>
          <w:color w:val="008000"/>
          <w:sz w:val="32"/>
          <w:szCs w:val="32"/>
          <w:rtl/>
          <w:lang w:eastAsia="ar-SA"/>
        </w:rPr>
        <w:t>الموضوع ،  و  الموجز :</w:t>
      </w:r>
    </w:p>
    <w:p w:rsidR="0082685D" w:rsidRPr="0082685D" w:rsidRDefault="0082685D" w:rsidP="0082685D">
      <w:pPr>
        <w:spacing w:after="0" w:line="240" w:lineRule="auto"/>
        <w:jc w:val="lowKashida"/>
        <w:rPr>
          <w:rFonts w:ascii="Times New Roman" w:eastAsia="Times New Roman" w:hAnsi="Times New Roman" w:cs="Simplified Arabic"/>
          <w:b/>
          <w:bCs/>
          <w:sz w:val="32"/>
          <w:szCs w:val="32"/>
        </w:rPr>
      </w:pPr>
    </w:p>
    <w:p w:rsidR="0082685D" w:rsidRPr="0082685D" w:rsidRDefault="0082685D" w:rsidP="0082685D">
      <w:pPr>
        <w:spacing w:after="0" w:line="240" w:lineRule="auto"/>
        <w:jc w:val="lowKashida"/>
        <w:rPr>
          <w:rFonts w:ascii="Simplified Arabic" w:eastAsia="Times New Roman" w:hAnsi="Simplified Arabic" w:cs="Simplified Arabic"/>
          <w:b/>
          <w:bCs/>
          <w:sz w:val="28"/>
          <w:szCs w:val="28"/>
        </w:rPr>
      </w:pPr>
      <w:r w:rsidRPr="0082685D">
        <w:rPr>
          <w:rFonts w:ascii="Simplified Arabic" w:eastAsia="Times New Roman" w:hAnsi="Simplified Arabic" w:cs="Simplified Arabic"/>
          <w:b/>
          <w:bCs/>
          <w:sz w:val="32"/>
          <w:szCs w:val="32"/>
          <w:rtl/>
        </w:rPr>
        <w:t xml:space="preserve">(1) </w:t>
      </w:r>
      <w:r w:rsidRPr="0082685D">
        <w:rPr>
          <w:rFonts w:ascii="Simplified Arabic" w:eastAsia="Times New Roman" w:hAnsi="Simplified Arabic" w:cs="Simplified Arabic"/>
          <w:b/>
          <w:bCs/>
          <w:sz w:val="28"/>
          <w:szCs w:val="24"/>
          <w:rtl/>
        </w:rPr>
        <w:t xml:space="preserve">   </w:t>
      </w:r>
      <w:r w:rsidRPr="0082685D">
        <w:rPr>
          <w:rFonts w:ascii="Simplified Arabic" w:eastAsia="Times New Roman" w:hAnsi="Simplified Arabic" w:cs="Simplified Arabic"/>
          <w:b/>
          <w:bCs/>
          <w:sz w:val="28"/>
          <w:szCs w:val="28"/>
          <w:rtl/>
        </w:rPr>
        <w:t xml:space="preserve">مسئولية </w:t>
      </w:r>
    </w:p>
    <w:p w:rsidR="0082685D" w:rsidRPr="0082685D" w:rsidRDefault="0082685D" w:rsidP="0082685D">
      <w:pPr>
        <w:spacing w:after="0" w:line="240" w:lineRule="auto"/>
        <w:jc w:val="lowKashida"/>
        <w:rPr>
          <w:rFonts w:ascii="Times New Roman" w:eastAsia="Times New Roman" w:hAnsi="Times New Roman" w:cs="Simplified Arabic"/>
          <w:b/>
          <w:bCs/>
          <w:sz w:val="28"/>
          <w:szCs w:val="24"/>
          <w:rtl/>
        </w:rPr>
      </w:pPr>
      <w:r w:rsidRPr="0082685D">
        <w:rPr>
          <w:rFonts w:ascii="Times New Roman" w:eastAsia="Times New Roman" w:hAnsi="Times New Roman" w:cs="Simplified Arabic"/>
          <w:sz w:val="28"/>
          <w:szCs w:val="24"/>
        </w:rPr>
        <w:t>-</w:t>
      </w:r>
    </w:p>
    <w:p w:rsidR="0082685D" w:rsidRPr="0082685D" w:rsidRDefault="0082685D" w:rsidP="0082685D">
      <w:pPr>
        <w:spacing w:after="0" w:line="240" w:lineRule="auto"/>
        <w:jc w:val="lowKashida"/>
        <w:rPr>
          <w:rFonts w:ascii="Simplified Arabic" w:eastAsia="Times New Roman" w:hAnsi="Simplified Arabic" w:cs="Simplified Arabic"/>
          <w:b/>
          <w:bCs/>
          <w:sz w:val="28"/>
          <w:szCs w:val="24"/>
        </w:rPr>
      </w:pPr>
    </w:p>
    <w:p w:rsidR="0082685D" w:rsidRPr="0082685D" w:rsidRDefault="0082685D" w:rsidP="0082685D">
      <w:pPr>
        <w:spacing w:after="0" w:line="240" w:lineRule="auto"/>
        <w:jc w:val="lowKashida"/>
        <w:rPr>
          <w:rFonts w:ascii="Simplified Arabic" w:eastAsia="Times New Roman" w:hAnsi="Simplified Arabic" w:cs="Simplified Arabic"/>
          <w:b/>
          <w:bCs/>
          <w:sz w:val="28"/>
          <w:szCs w:val="24"/>
          <w:rtl/>
        </w:rPr>
      </w:pPr>
      <w:r w:rsidRPr="0082685D">
        <w:rPr>
          <w:rFonts w:ascii="Simplified Arabic" w:eastAsia="Times New Roman" w:hAnsi="Simplified Arabic" w:cs="Simplified Arabic"/>
          <w:b/>
          <w:bCs/>
          <w:sz w:val="32"/>
          <w:szCs w:val="32"/>
          <w:rtl/>
        </w:rPr>
        <w:t xml:space="preserve">(2) </w:t>
      </w:r>
      <w:r w:rsidRPr="0082685D">
        <w:rPr>
          <w:rFonts w:ascii="Simplified Arabic" w:eastAsia="Times New Roman" w:hAnsi="Simplified Arabic" w:cs="Simplified Arabic"/>
          <w:b/>
          <w:bCs/>
          <w:sz w:val="28"/>
          <w:szCs w:val="24"/>
          <w:rtl/>
        </w:rPr>
        <w:t xml:space="preserve">   </w:t>
      </w:r>
      <w:r w:rsidRPr="0082685D">
        <w:rPr>
          <w:rFonts w:ascii="Simplified Arabic" w:eastAsia="Times New Roman" w:hAnsi="Simplified Arabic" w:cs="Simplified Arabic"/>
          <w:b/>
          <w:bCs/>
          <w:sz w:val="28"/>
          <w:szCs w:val="28"/>
          <w:rtl/>
        </w:rPr>
        <w:t>مسئولية</w:t>
      </w:r>
    </w:p>
    <w:p w:rsidR="0082685D" w:rsidRPr="0082685D" w:rsidRDefault="0082685D" w:rsidP="0082685D">
      <w:pPr>
        <w:spacing w:after="0" w:line="240" w:lineRule="auto"/>
        <w:jc w:val="lowKashida"/>
        <w:rPr>
          <w:rFonts w:ascii="Simplified Arabic" w:eastAsia="Times New Roman" w:hAnsi="Simplified Arabic" w:cs="Simplified Arabic"/>
          <w:b/>
          <w:bCs/>
          <w:sz w:val="28"/>
          <w:szCs w:val="24"/>
          <w:rtl/>
        </w:rPr>
      </w:pPr>
      <w:r w:rsidRPr="0082685D">
        <w:rPr>
          <w:rFonts w:ascii="Times New Roman" w:eastAsia="Times New Roman" w:hAnsi="Times New Roman" w:cs="Simplified Arabic"/>
          <w:sz w:val="28"/>
          <w:szCs w:val="24"/>
        </w:rPr>
        <w:t>-</w:t>
      </w:r>
    </w:p>
    <w:p w:rsidR="0082685D" w:rsidRPr="0082685D" w:rsidRDefault="0082685D" w:rsidP="0082685D">
      <w:pPr>
        <w:spacing w:after="0" w:line="240" w:lineRule="auto"/>
        <w:jc w:val="lowKashida"/>
        <w:rPr>
          <w:rFonts w:ascii="Times New Roman" w:eastAsia="Times New Roman" w:hAnsi="Times New Roman" w:cs="Simplified Arabic"/>
          <w:b/>
          <w:bCs/>
          <w:sz w:val="28"/>
          <w:szCs w:val="24"/>
          <w:rtl/>
        </w:rPr>
      </w:pPr>
    </w:p>
    <w:p w:rsidR="0082685D" w:rsidRPr="0082685D" w:rsidRDefault="0082685D" w:rsidP="0082685D">
      <w:pPr>
        <w:spacing w:after="0" w:line="240" w:lineRule="auto"/>
        <w:jc w:val="lowKashida"/>
        <w:rPr>
          <w:rFonts w:ascii="Simplified Arabic" w:eastAsia="Times New Roman" w:hAnsi="Simplified Arabic" w:cs="Simplified Arabic"/>
          <w:b/>
          <w:bCs/>
          <w:sz w:val="28"/>
          <w:szCs w:val="28"/>
        </w:rPr>
      </w:pPr>
      <w:r w:rsidRPr="0082685D">
        <w:rPr>
          <w:rFonts w:ascii="Simplified Arabic" w:eastAsia="Times New Roman" w:hAnsi="Simplified Arabic" w:cs="Simplified Arabic"/>
          <w:b/>
          <w:bCs/>
          <w:sz w:val="32"/>
          <w:szCs w:val="32"/>
          <w:rtl/>
        </w:rPr>
        <w:t>(3)</w:t>
      </w:r>
      <w:r w:rsidRPr="0082685D">
        <w:rPr>
          <w:rFonts w:ascii="Simplified Arabic" w:eastAsia="Times New Roman" w:hAnsi="Simplified Arabic" w:cs="Simplified Arabic"/>
          <w:b/>
          <w:bCs/>
          <w:sz w:val="28"/>
          <w:szCs w:val="28"/>
          <w:rtl/>
        </w:rPr>
        <w:t xml:space="preserve">    حكم</w:t>
      </w:r>
    </w:p>
    <w:p w:rsidR="0082685D" w:rsidRPr="0082685D" w:rsidRDefault="0082685D" w:rsidP="0082685D">
      <w:pPr>
        <w:spacing w:after="0" w:line="240" w:lineRule="auto"/>
        <w:jc w:val="lowKashida"/>
        <w:rPr>
          <w:rFonts w:ascii="Simplified Arabic" w:eastAsia="Times New Roman" w:hAnsi="Simplified Arabic" w:cs="Simplified Arabic"/>
          <w:b/>
          <w:bCs/>
          <w:sz w:val="28"/>
          <w:szCs w:val="24"/>
          <w:rtl/>
        </w:rPr>
      </w:pPr>
      <w:r w:rsidRPr="0082685D">
        <w:rPr>
          <w:rFonts w:ascii="Times New Roman" w:eastAsia="Times New Roman" w:hAnsi="Times New Roman" w:cs="Simplified Arabic"/>
          <w:sz w:val="28"/>
          <w:szCs w:val="24"/>
        </w:rPr>
        <w:t>-</w:t>
      </w:r>
    </w:p>
    <w:p w:rsidR="0082685D" w:rsidRPr="0082685D" w:rsidRDefault="0082685D" w:rsidP="0082685D">
      <w:pPr>
        <w:spacing w:after="0" w:line="240" w:lineRule="auto"/>
        <w:jc w:val="center"/>
        <w:rPr>
          <w:rFonts w:ascii="Times New Roman" w:eastAsia="Times New Roman" w:hAnsi="Times New Roman" w:cs="PT Bold Heading"/>
          <w:b/>
          <w:bCs/>
          <w:color w:val="008000"/>
          <w:sz w:val="32"/>
          <w:szCs w:val="32"/>
          <w:rtl/>
          <w:lang w:eastAsia="ar-SA"/>
        </w:rPr>
      </w:pPr>
      <w:r w:rsidRPr="0082685D">
        <w:rPr>
          <w:rFonts w:ascii="Times New Roman" w:eastAsia="Times New Roman" w:hAnsi="Times New Roman" w:cs="PT Bold Heading" w:hint="cs"/>
          <w:b/>
          <w:bCs/>
          <w:color w:val="008000"/>
          <w:sz w:val="32"/>
          <w:szCs w:val="32"/>
          <w:rtl/>
          <w:lang w:eastAsia="ar-SA"/>
        </w:rPr>
        <w:t>القاعدة</w:t>
      </w:r>
    </w:p>
    <w:p w:rsidR="0082685D" w:rsidRPr="0082685D" w:rsidRDefault="0082685D" w:rsidP="0082685D">
      <w:pPr>
        <w:spacing w:after="0" w:line="240" w:lineRule="auto"/>
        <w:jc w:val="lowKashida"/>
        <w:rPr>
          <w:rFonts w:ascii="Times New Roman" w:eastAsia="Times New Roman" w:hAnsi="Times New Roman" w:cs="Simplified Arabic"/>
          <w:sz w:val="28"/>
          <w:szCs w:val="28"/>
        </w:rPr>
      </w:pPr>
      <w:r w:rsidRPr="0082685D">
        <w:rPr>
          <w:rFonts w:ascii="Simplified Arabic" w:eastAsia="Times New Roman" w:hAnsi="Simplified Arabic" w:cs="Simplified Arabic"/>
          <w:sz w:val="28"/>
          <w:szCs w:val="28"/>
          <w:rtl/>
        </w:rPr>
        <w:t>1-</w:t>
      </w:r>
      <w:r w:rsidRPr="0082685D">
        <w:rPr>
          <w:rFonts w:ascii="Times New Roman" w:eastAsia="Times New Roman" w:hAnsi="Times New Roman" w:cs="Simplified Arabic" w:hint="cs"/>
          <w:sz w:val="28"/>
          <w:szCs w:val="28"/>
        </w:rPr>
        <w:t xml:space="preserve"> </w:t>
      </w:r>
      <w:r w:rsidRPr="0082685D">
        <w:rPr>
          <w:rFonts w:ascii="Simplified Arabic" w:eastAsia="Times New Roman" w:hAnsi="Simplified Arabic" w:cs="Simplified Arabic"/>
          <w:sz w:val="28"/>
          <w:szCs w:val="28"/>
          <w:rtl/>
        </w:rPr>
        <w:t xml:space="preserve">من المقرر </w:t>
      </w:r>
      <w:r w:rsidRPr="0082685D">
        <w:rPr>
          <w:rFonts w:ascii="Times New Roman" w:eastAsia="Times New Roman" w:hAnsi="Times New Roman" w:cs="Simplified Arabic"/>
          <w:sz w:val="28"/>
          <w:szCs w:val="28"/>
        </w:rPr>
        <w:t xml:space="preserve">- </w:t>
      </w:r>
      <w:r w:rsidRPr="0082685D">
        <w:rPr>
          <w:rFonts w:ascii="Simplified Arabic" w:eastAsia="Times New Roman" w:hAnsi="Simplified Arabic" w:cs="Simplified Arabic"/>
          <w:sz w:val="28"/>
          <w:szCs w:val="28"/>
          <w:rtl/>
        </w:rPr>
        <w:t xml:space="preserve">و على ما جرى به قضاء هذه المحكمة </w:t>
      </w:r>
      <w:r w:rsidRPr="0082685D">
        <w:rPr>
          <w:rFonts w:ascii="Times New Roman" w:eastAsia="Times New Roman" w:hAnsi="Times New Roman" w:cs="Simplified Arabic"/>
          <w:sz w:val="28"/>
          <w:szCs w:val="28"/>
        </w:rPr>
        <w:t xml:space="preserve">- </w:t>
      </w:r>
      <w:r w:rsidRPr="0082685D">
        <w:rPr>
          <w:rFonts w:ascii="Simplified Arabic" w:eastAsia="Times New Roman" w:hAnsi="Simplified Arabic" w:cs="Simplified Arabic"/>
          <w:sz w:val="28"/>
          <w:szCs w:val="28"/>
          <w:rtl/>
        </w:rPr>
        <w:t xml:space="preserve">أن المشرع بصدد تحديده نطاق مسئولية المتبوع وفقاً لحكم المادة </w:t>
      </w:r>
      <w:r w:rsidRPr="0082685D">
        <w:rPr>
          <w:rFonts w:ascii="Times New Roman" w:eastAsia="Times New Roman" w:hAnsi="Times New Roman" w:cs="Simplified Arabic"/>
          <w:sz w:val="28"/>
          <w:szCs w:val="28"/>
        </w:rPr>
        <w:t xml:space="preserve">174 </w:t>
      </w:r>
      <w:r w:rsidRPr="0082685D">
        <w:rPr>
          <w:rFonts w:ascii="Simplified Arabic" w:eastAsia="Times New Roman" w:hAnsi="Simplified Arabic" w:cs="Simplified Arabic"/>
          <w:sz w:val="28"/>
          <w:szCs w:val="28"/>
          <w:rtl/>
        </w:rPr>
        <w:t xml:space="preserve">من القانون المدني لم يقصد قصر المسئولية على خطأ التابع و هو يؤدى عملاً من أعمال وظيفته و بسببها بل تتحقق المسئولية كلما كان فعل التابع قد وقع منه أثناء تأدية الوظيفة أو كلما أستغل هذه الوظيفة أو ساعدته هذه الوظيفة على إتيان فعله غير المشروع أو هيأت له بأى طريقة كانت فرصة ارتكابه سواء أرتكب لمصلحة المتبوع أو عن باعث شخصي و سواء أكان الباعث الذى دفعه إليه متصلاً بالوظيفة أو لا علاقة له بها و سواء وقع الخطأ بعلم المتبوع أو بغير علمه </w:t>
      </w:r>
      <w:r w:rsidRPr="0082685D">
        <w:rPr>
          <w:rFonts w:ascii="Times New Roman" w:eastAsia="Times New Roman" w:hAnsi="Times New Roman" w:cs="Simplified Arabic"/>
          <w:sz w:val="28"/>
          <w:szCs w:val="28"/>
        </w:rPr>
        <w:t xml:space="preserve">. </w:t>
      </w:r>
    </w:p>
    <w:p w:rsidR="0082685D" w:rsidRPr="0082685D" w:rsidRDefault="0082685D" w:rsidP="0082685D">
      <w:pPr>
        <w:spacing w:after="0" w:line="240" w:lineRule="auto"/>
        <w:jc w:val="lowKashida"/>
        <w:rPr>
          <w:rFonts w:ascii="Times New Roman" w:eastAsia="Times New Roman" w:hAnsi="Times New Roman" w:cs="Simplified Arabic"/>
          <w:sz w:val="28"/>
          <w:szCs w:val="28"/>
        </w:rPr>
      </w:pPr>
    </w:p>
    <w:p w:rsidR="0082685D" w:rsidRPr="0082685D" w:rsidRDefault="0082685D" w:rsidP="0082685D">
      <w:pPr>
        <w:spacing w:after="0" w:line="240" w:lineRule="auto"/>
        <w:jc w:val="lowKashida"/>
        <w:rPr>
          <w:rFonts w:ascii="Times New Roman" w:eastAsia="Times New Roman" w:hAnsi="Times New Roman" w:cs="Simplified Arabic"/>
          <w:sz w:val="28"/>
          <w:szCs w:val="28"/>
        </w:rPr>
      </w:pPr>
      <w:r w:rsidRPr="0082685D">
        <w:rPr>
          <w:rFonts w:ascii="Simplified Arabic" w:eastAsia="Times New Roman" w:hAnsi="Simplified Arabic" w:cs="Simplified Arabic"/>
          <w:sz w:val="28"/>
          <w:szCs w:val="28"/>
          <w:rtl/>
        </w:rPr>
        <w:t xml:space="preserve">2-مسئولية المتبوع تتحقق و لو لم يعين تابعه الذى وقع منه الفعل غير المشروع إذ يكفى فى مساءلة المتبوع أن يثبت وقوع خطأ من تابع له و لو تعذر تعيينه من بين تابعيه </w:t>
      </w:r>
      <w:r w:rsidRPr="0082685D">
        <w:rPr>
          <w:rFonts w:ascii="Times New Roman" w:eastAsia="Times New Roman" w:hAnsi="Times New Roman" w:cs="Simplified Arabic"/>
          <w:sz w:val="28"/>
          <w:szCs w:val="28"/>
        </w:rPr>
        <w:t xml:space="preserve">. </w:t>
      </w:r>
    </w:p>
    <w:p w:rsidR="0082685D" w:rsidRPr="0082685D" w:rsidRDefault="0082685D" w:rsidP="0082685D">
      <w:pPr>
        <w:spacing w:after="0" w:line="240" w:lineRule="auto"/>
        <w:jc w:val="lowKashida"/>
        <w:rPr>
          <w:rFonts w:ascii="Times New Roman" w:eastAsia="Times New Roman" w:hAnsi="Times New Roman" w:cs="Simplified Arabic"/>
          <w:sz w:val="28"/>
          <w:szCs w:val="28"/>
        </w:rPr>
      </w:pPr>
    </w:p>
    <w:p w:rsidR="0082685D" w:rsidRPr="0082685D" w:rsidRDefault="0082685D" w:rsidP="0082685D">
      <w:pPr>
        <w:spacing w:after="0" w:line="240" w:lineRule="auto"/>
        <w:jc w:val="lowKashida"/>
        <w:rPr>
          <w:rFonts w:ascii="Times New Roman" w:eastAsia="Times New Roman" w:hAnsi="Times New Roman" w:cs="Simplified Arabic"/>
          <w:sz w:val="28"/>
          <w:szCs w:val="28"/>
        </w:rPr>
      </w:pPr>
      <w:r w:rsidRPr="0082685D">
        <w:rPr>
          <w:rFonts w:ascii="Simplified Arabic" w:eastAsia="Times New Roman" w:hAnsi="Simplified Arabic" w:cs="Simplified Arabic"/>
          <w:sz w:val="28"/>
          <w:szCs w:val="28"/>
          <w:rtl/>
        </w:rPr>
        <w:t xml:space="preserve">3-من المقرر </w:t>
      </w:r>
      <w:r w:rsidRPr="0082685D">
        <w:rPr>
          <w:rFonts w:ascii="Times New Roman" w:eastAsia="Times New Roman" w:hAnsi="Times New Roman" w:cs="Simplified Arabic"/>
          <w:sz w:val="28"/>
          <w:szCs w:val="28"/>
        </w:rPr>
        <w:t xml:space="preserve">- </w:t>
      </w:r>
      <w:r w:rsidRPr="0082685D">
        <w:rPr>
          <w:rFonts w:ascii="Simplified Arabic" w:eastAsia="Times New Roman" w:hAnsi="Simplified Arabic" w:cs="Simplified Arabic"/>
          <w:sz w:val="28"/>
          <w:szCs w:val="28"/>
          <w:rtl/>
        </w:rPr>
        <w:t xml:space="preserve">و على ما جرى به قضاء هذه المحكمة  </w:t>
      </w:r>
      <w:r w:rsidRPr="0082685D">
        <w:rPr>
          <w:rFonts w:ascii="Times New Roman" w:eastAsia="Times New Roman" w:hAnsi="Times New Roman" w:cs="Simplified Arabic"/>
          <w:sz w:val="28"/>
          <w:szCs w:val="28"/>
        </w:rPr>
        <w:t xml:space="preserve">- </w:t>
      </w:r>
      <w:r w:rsidRPr="0082685D">
        <w:rPr>
          <w:rFonts w:ascii="Simplified Arabic" w:eastAsia="Times New Roman" w:hAnsi="Simplified Arabic" w:cs="Simplified Arabic"/>
          <w:sz w:val="28"/>
          <w:szCs w:val="28"/>
          <w:rtl/>
        </w:rPr>
        <w:t xml:space="preserve">أن الحكم الجنائي هو الذى يقيد القضاء المدنى فيما يتصل بوقوع الجريمة و نسبتها إلى فاعلها و هذه الحجية لا تثبت إلا للأحكام الفاصلة فى موضوع الدعوى الجنائية دون غيرها من الأوامر و القرارات الصادرة من سلطات التحقيق لأن هذه القرارات لا تفصل فى موضوع الدعوى الجنائية بالبراءة و إنما تفصل فى توافر أو عدم توافر الظروف التى تجعل الدعوى صالحة لإحالتها إلى المحكمة للفصل فى موضوعها ، و من ثم فلا تكتسب هذه القرارات أية حجية أمام القضاء المدنى و  يكون له أن يقضى بتوافر الدليل على وقوع الجريمة أو نسبتها إلى فاعلها على خلاف القرار الصادر من </w:t>
      </w:r>
      <w:r w:rsidRPr="0082685D">
        <w:rPr>
          <w:rFonts w:ascii="Simplified Arabic" w:eastAsia="Times New Roman" w:hAnsi="Simplified Arabic" w:cs="Simplified Arabic"/>
          <w:sz w:val="28"/>
          <w:szCs w:val="28"/>
          <w:rtl/>
        </w:rPr>
        <w:lastRenderedPageBreak/>
        <w:t xml:space="preserve">سلطة التحقيق ، لما كان ذلك </w:t>
      </w:r>
      <w:r w:rsidRPr="0082685D">
        <w:rPr>
          <w:rFonts w:ascii="Times New Roman" w:eastAsia="Times New Roman" w:hAnsi="Times New Roman" w:cs="Simplified Arabic"/>
          <w:sz w:val="28"/>
          <w:szCs w:val="28"/>
        </w:rPr>
        <w:t xml:space="preserve">. </w:t>
      </w:r>
      <w:r w:rsidRPr="0082685D">
        <w:rPr>
          <w:rFonts w:ascii="Simplified Arabic" w:eastAsia="Times New Roman" w:hAnsi="Simplified Arabic" w:cs="Simplified Arabic"/>
          <w:sz w:val="28"/>
          <w:szCs w:val="28"/>
          <w:rtl/>
        </w:rPr>
        <w:t xml:space="preserve">فإن قرار النيابة العامة بعدم وجود وجة لإقامة الدعوى الجنائية الصادر فى الجناية موضوع الفعل غير المشروع المؤسس عليه طلب التعويض لا يكون له ثمة حجة أمام القضاء المدنى أياً ما كان فحوى هذا القرار و الأسباب التى بنى عليها </w:t>
      </w:r>
      <w:r w:rsidRPr="0082685D">
        <w:rPr>
          <w:rFonts w:ascii="Times New Roman" w:eastAsia="Times New Roman" w:hAnsi="Times New Roman" w:cs="Simplified Arabic"/>
          <w:sz w:val="28"/>
          <w:szCs w:val="28"/>
        </w:rPr>
        <w:t xml:space="preserve">. </w:t>
      </w:r>
    </w:p>
    <w:p w:rsidR="0082685D" w:rsidRPr="0082685D" w:rsidRDefault="0082685D" w:rsidP="0082685D">
      <w:pPr>
        <w:spacing w:after="0" w:line="240" w:lineRule="auto"/>
        <w:jc w:val="lowKashida"/>
        <w:rPr>
          <w:rFonts w:ascii="Times New Roman" w:eastAsia="Times New Roman" w:hAnsi="Times New Roman" w:cs="Simplified Arabic"/>
          <w:sz w:val="28"/>
          <w:szCs w:val="28"/>
        </w:rPr>
      </w:pPr>
    </w:p>
    <w:p w:rsidR="0082685D" w:rsidRPr="0082685D" w:rsidRDefault="0082685D" w:rsidP="0082685D">
      <w:pPr>
        <w:spacing w:after="0" w:line="240" w:lineRule="auto"/>
        <w:jc w:val="center"/>
        <w:rPr>
          <w:rFonts w:ascii="Times New Roman" w:eastAsia="Times New Roman" w:hAnsi="Times New Roman" w:cs="Simplified Arabic"/>
          <w:sz w:val="24"/>
          <w:szCs w:val="24"/>
        </w:rPr>
      </w:pPr>
      <w:r w:rsidRPr="0082685D">
        <w:rPr>
          <w:rFonts w:ascii="Simplified Arabic" w:eastAsia="Times New Roman" w:hAnsi="Simplified Arabic" w:cs="Simplified Arabic"/>
          <w:sz w:val="24"/>
          <w:szCs w:val="24"/>
          <w:rtl/>
        </w:rPr>
        <w:t>" سنة المكتب الفنى "  30 " رقم الصفحة -  181 -  قاعدة رقم –   -  "</w:t>
      </w:r>
    </w:p>
    <w:p w:rsidR="0082685D" w:rsidRPr="0082685D" w:rsidRDefault="0082685D" w:rsidP="0082685D">
      <w:pPr>
        <w:spacing w:after="0" w:line="240" w:lineRule="auto"/>
        <w:rPr>
          <w:rFonts w:ascii="Times New Roman" w:eastAsia="Times New Roman" w:hAnsi="Times New Roman" w:cs="Times New Roman"/>
          <w:sz w:val="24"/>
          <w:szCs w:val="24"/>
        </w:rPr>
      </w:pPr>
    </w:p>
    <w:p w:rsidR="006173AA" w:rsidRPr="0082685D" w:rsidRDefault="006173AA">
      <w:bookmarkStart w:id="0" w:name="_GoBack"/>
      <w:bookmarkEnd w:id="0"/>
    </w:p>
    <w:sectPr w:rsidR="006173AA" w:rsidRPr="0082685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CB"/>
    <w:rsid w:val="0003272B"/>
    <w:rsid w:val="002247CB"/>
    <w:rsid w:val="006173AA"/>
    <w:rsid w:val="00826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2020-06-08T10:23:00Z</dcterms:created>
  <dcterms:modified xsi:type="dcterms:W3CDTF">2020-06-08T10:23:00Z</dcterms:modified>
</cp:coreProperties>
</file>