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96" w:rsidRPr="00DB2196" w:rsidRDefault="00DB2196" w:rsidP="00DB2196">
      <w:pPr>
        <w:spacing w:after="0" w:line="240" w:lineRule="auto"/>
        <w:jc w:val="center"/>
        <w:rPr>
          <w:rFonts w:ascii="Times New Roman" w:eastAsia="Times New Roman" w:hAnsi="Times New Roman" w:cs="PT Bold Heading"/>
          <w:b/>
          <w:bCs/>
          <w:color w:val="008000"/>
          <w:sz w:val="32"/>
          <w:szCs w:val="32"/>
          <w:lang w:eastAsia="ar-SA"/>
        </w:rPr>
      </w:pPr>
      <w:r w:rsidRPr="00DB2196">
        <w:rPr>
          <w:rFonts w:ascii="Times New Roman" w:eastAsia="Times New Roman" w:hAnsi="Times New Roman" w:cs="PT Bold Heading" w:hint="cs"/>
          <w:b/>
          <w:bCs/>
          <w:color w:val="008000"/>
          <w:sz w:val="32"/>
          <w:szCs w:val="32"/>
          <w:rtl/>
          <w:lang w:eastAsia="ar-SA"/>
        </w:rPr>
        <w:t xml:space="preserve">الطعن رقم 643 لسنة 48 ق </w:t>
      </w:r>
      <w:r w:rsidRPr="00DB2196">
        <w:rPr>
          <w:rFonts w:ascii="Times New Roman" w:eastAsia="Times New Roman" w:hAnsi="Times New Roman" w:cs="Times New Roman" w:hint="cs"/>
          <w:b/>
          <w:bCs/>
          <w:color w:val="008000"/>
          <w:sz w:val="32"/>
          <w:szCs w:val="32"/>
          <w:rtl/>
          <w:lang w:eastAsia="ar-SA"/>
        </w:rPr>
        <w:t>-</w:t>
      </w:r>
      <w:r w:rsidRPr="00DB2196">
        <w:rPr>
          <w:rFonts w:ascii="Times New Roman" w:eastAsia="Times New Roman" w:hAnsi="Times New Roman" w:cs="PT Bold Heading" w:hint="cs"/>
          <w:b/>
          <w:bCs/>
          <w:color w:val="008000"/>
          <w:sz w:val="32"/>
          <w:szCs w:val="32"/>
          <w:rtl/>
          <w:lang w:eastAsia="ar-SA"/>
        </w:rPr>
        <w:t xml:space="preserve"> جلسة 2-5-1979</w:t>
      </w:r>
    </w:p>
    <w:p w:rsidR="00DB2196" w:rsidRPr="00DB2196" w:rsidRDefault="00DB2196" w:rsidP="00DB2196">
      <w:pPr>
        <w:spacing w:after="0" w:line="240" w:lineRule="auto"/>
        <w:jc w:val="center"/>
        <w:rPr>
          <w:rFonts w:ascii="Times New Roman" w:eastAsia="Times New Roman" w:hAnsi="Times New Roman" w:cs="PT Bold Heading"/>
          <w:b/>
          <w:bCs/>
          <w:color w:val="008000"/>
          <w:sz w:val="32"/>
          <w:szCs w:val="32"/>
          <w:lang w:eastAsia="ar-SA"/>
        </w:rPr>
      </w:pPr>
      <w:r w:rsidRPr="00DB2196">
        <w:rPr>
          <w:rFonts w:ascii="Times New Roman" w:eastAsia="Times New Roman" w:hAnsi="Times New Roman" w:cs="PT Bold Heading" w:hint="cs"/>
          <w:b/>
          <w:bCs/>
          <w:color w:val="008000"/>
          <w:sz w:val="32"/>
          <w:szCs w:val="32"/>
          <w:rtl/>
          <w:lang w:eastAsia="ar-SA"/>
        </w:rPr>
        <w:t>الموضوع ،  و  الموجز :</w:t>
      </w:r>
    </w:p>
    <w:p w:rsidR="00DB2196" w:rsidRPr="00DB2196" w:rsidRDefault="00DB2196" w:rsidP="00DB2196">
      <w:pPr>
        <w:spacing w:after="0" w:line="240" w:lineRule="auto"/>
        <w:jc w:val="lowKashida"/>
        <w:rPr>
          <w:rFonts w:ascii="Times New Roman" w:eastAsia="Times New Roman" w:hAnsi="Times New Roman" w:cs="Simplified Arabic"/>
          <w:b/>
          <w:bCs/>
          <w:sz w:val="32"/>
          <w:szCs w:val="32"/>
        </w:rPr>
      </w:pPr>
    </w:p>
    <w:p w:rsidR="00DB2196" w:rsidRPr="00DB2196" w:rsidRDefault="00DB2196" w:rsidP="00DB2196">
      <w:pPr>
        <w:spacing w:after="0" w:line="240" w:lineRule="auto"/>
        <w:jc w:val="lowKashida"/>
        <w:rPr>
          <w:rFonts w:ascii="Simplified Arabic" w:eastAsia="Times New Roman" w:hAnsi="Simplified Arabic" w:cs="Simplified Arabic"/>
          <w:b/>
          <w:bCs/>
          <w:sz w:val="28"/>
          <w:szCs w:val="24"/>
        </w:rPr>
      </w:pPr>
      <w:r w:rsidRPr="00DB2196">
        <w:rPr>
          <w:rFonts w:ascii="Simplified Arabic" w:eastAsia="Times New Roman" w:hAnsi="Simplified Arabic" w:cs="Simplified Arabic"/>
          <w:b/>
          <w:bCs/>
          <w:sz w:val="32"/>
          <w:szCs w:val="32"/>
          <w:rtl/>
        </w:rPr>
        <w:t>إثبات - إستئناف - إيجار</w:t>
      </w:r>
    </w:p>
    <w:p w:rsidR="00DB2196" w:rsidRPr="00DB2196" w:rsidRDefault="00DB2196" w:rsidP="00DB2196">
      <w:pPr>
        <w:spacing w:after="0" w:line="240" w:lineRule="auto"/>
        <w:jc w:val="lowKashida"/>
        <w:rPr>
          <w:rFonts w:ascii="Simplified Arabic" w:eastAsia="Times New Roman" w:hAnsi="Simplified Arabic" w:cs="Simplified Arabic"/>
          <w:b/>
          <w:bCs/>
          <w:sz w:val="28"/>
          <w:szCs w:val="24"/>
          <w:rtl/>
        </w:rPr>
      </w:pPr>
    </w:p>
    <w:p w:rsidR="00DB2196" w:rsidRPr="00DB2196" w:rsidRDefault="00DB2196" w:rsidP="00DB2196">
      <w:pPr>
        <w:spacing w:after="0" w:line="240" w:lineRule="auto"/>
        <w:jc w:val="lowKashida"/>
        <w:rPr>
          <w:rFonts w:ascii="Simplified Arabic" w:eastAsia="Times New Roman" w:hAnsi="Simplified Arabic" w:cs="Simplified Arabic"/>
          <w:b/>
          <w:bCs/>
          <w:sz w:val="28"/>
          <w:szCs w:val="24"/>
          <w:rtl/>
        </w:rPr>
      </w:pPr>
    </w:p>
    <w:p w:rsidR="00DB2196" w:rsidRPr="00DB2196" w:rsidRDefault="00DB2196" w:rsidP="00DB2196">
      <w:pPr>
        <w:spacing w:after="0" w:line="240" w:lineRule="auto"/>
        <w:jc w:val="lowKashida"/>
        <w:rPr>
          <w:rFonts w:ascii="Times New Roman" w:eastAsia="Times New Roman" w:hAnsi="Times New Roman" w:cs="Simplified Arabic"/>
          <w:b/>
          <w:bCs/>
          <w:sz w:val="28"/>
          <w:szCs w:val="24"/>
          <w:rtl/>
        </w:rPr>
      </w:pPr>
    </w:p>
    <w:p w:rsidR="00DB2196" w:rsidRPr="00DB2196" w:rsidRDefault="00DB2196" w:rsidP="00DB2196">
      <w:pPr>
        <w:spacing w:after="0" w:line="240" w:lineRule="auto"/>
        <w:jc w:val="center"/>
        <w:rPr>
          <w:rFonts w:ascii="Times New Roman" w:eastAsia="Times New Roman" w:hAnsi="Times New Roman" w:cs="PT Bold Heading"/>
          <w:b/>
          <w:bCs/>
          <w:color w:val="008000"/>
          <w:sz w:val="32"/>
          <w:szCs w:val="32"/>
          <w:lang w:eastAsia="ar-SA"/>
        </w:rPr>
      </w:pPr>
      <w:r w:rsidRPr="00DB2196">
        <w:rPr>
          <w:rFonts w:ascii="Times New Roman" w:eastAsia="Times New Roman" w:hAnsi="Times New Roman" w:cs="PT Bold Heading" w:hint="cs"/>
          <w:b/>
          <w:bCs/>
          <w:color w:val="008000"/>
          <w:sz w:val="32"/>
          <w:szCs w:val="32"/>
          <w:rtl/>
          <w:lang w:eastAsia="ar-SA"/>
        </w:rPr>
        <w:t>القاعدة</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1- المستقر فى قضاء هذه المحكمة أنه يجوز الطعن فى الحكم من كل من كان طرفاً فى الخصومة أمام المحكمة التى أصدرت الحكم المطعون فيه و لم يتخل عن منازعتة متى صدر الحكم ضده ، و كان يكفى لتحقيق المصلحة كان ذلك و كان الحكم الإبتدائى قد قضى برفض دعوى المطعون عليه الأول - شركة التأمين بطلب إخلاء العين المؤجرة من الباطن - فإنه يضحى سديداً ما خلص إليه الحكم المطعون فيه من أن له صفة و مصلحة فى طعنه عليه بطريق الإستئناف و إستمراره فى مباشرته حتى يقضى فيه ، لا يغير من ذلك إنتقال الحق الذى أقيمت به الدعوى إلى آخر لما كان ما تقدم ، و كان البين من الأوراق أن ملكية العقار الكائن به العين المؤجرة قد عادت إلى المطعون عليهم من الثانى للخامس بعد صدور الحكم الإبتدائى بالتطبيق لأحكام كل من القانون رقم 49 لسنة 1971 بتصفية الحراسة على أموال و ممتلكات الأشخاص الخاضعين لأحكام القانون رقم 150 لسنة 1964 و كذلك القانون رقم 69 لسنة 1974 بشأن تسوية الأوضاع الناشئة من فرض الحراسة ، فإنه يحق لهم التدخل فى الإستئناف منضمين إلى المستأنف فى طلباته ، فإنه يحق لهم التدخل فى الإستئناف إلى المشترية للعقار فى تاريخ لاحق للتدخل ، طالما كانت مصلحتهم قائمة عند حصوله ، و طالما كان المحيل ضامناً الحق المحال للمحال إليه ، مما يقتضيه الدفاع عنه و الإبقاء عليه بالحلة التى كان عليها وقت الحوالة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2- إذ كان الطاعنان لم يسلكا السبيل الذى رسمه القانون فى المواد من 49 إلى 51 من قانون الإثبات للإدعاء بالتزوير ، و لم يحددا فى مذكرتهما المقدمة لمحكمة الموضوع مواضع و كنه العبارات التى أضيفت ، حتى يتبين مدى إنتاجيتها و تعلقها بالنزاع المعروض ، فإن من حق محكمة الموضوع الإلتفات عما أثاراه من تزوير العقد و تعتبره صحيحاً ما دامت لم تر من ظروف الدعوى وفقاً للمادة 28 من قانون الإثبات ما يشير إلى تزويره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lastRenderedPageBreak/>
        <w:t>3- إذ كان الطاعنان لم يتمسكا أمام محكمة الموضوع ، بعدم صحة الترجمة العرفية لعقد الإيجار المقدمة من المطعون عليهم ، و كانت الرسمية لا تشترط فى ترجمه المستندات إلا حيث لا يسلم الخصوم بصحة الترجمة العرفية و يتنازعون أمرها ، فلا على الحكم إن هو إعتد بها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4- حظر التأجير من الباطن بغير إذن كتابى صريح من المالك حكم تشريعى قائم منذ صدور القانون رقم 121 لسنة 1947 بالنص عليه فى المادة 4 فقرة ب بمقتضاه أصبح الأصل هو تحريم التأجير من الباطن ، و كان الأثر الفورى لقوانين إيجار الأماكن يوجب سريان هذا التحريم على كل تأجير من الباطن يحدث بعد صدور القانون 121 لسنة 1947 و لو خلا عقد الإيجار من شرط بالحظر ، و كان القانون رقم 52 لسنة 1969 فقد أورد هذا الحكم فى المادة 23-ب منه و كان المسلم أن واقعة التأجير من الباطن حصلت بعد تاريخ العمل بأحكام التشريعين سالفى البيان ، فإن تطبيق أحكام أى يكون على سواء لا مغايرة فيه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5- إثبات أو نفى ترك المستأجر للعين المؤجر و تنازله عنها لآخر هو من مسائل الواقع التى تستقل محكمة الموضوع بتقديرها دون معقب عليها فى ذلك متى أقيم على أسباب سائغة تكفى لحمله ، و كان الحكم المطعون فيه قد خلص إلى أن المطعون عليه الأول ترك الشقة للمطعون عليه الثانى و تنازل له عنها ، و تأسيساً على ما أثبت فى إعلان صحيفة إفتتاح الدعوى من تركه لها و إقامتها فى مسكن آخر ، و من إعلانه بها من بعد فى هذا المسكن ، و من إقرار الطاعن الثانى فى تحقيقات الشكوى الإدارية بإقامتة و عائلته بشقة النزاع ، و كلها أسباب سائغة تكفى لحمل هذا الواقع الذى إستخلصه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6- يفترض فى فعل الإيواء و الإستضافة بما لا يعتبر تنازلاً عن الإيجار أو تأجيراً من الباطن أن يكون بصفة عارضة و من خلال إقامة المستأجر الأصلى و إنتفاعه بالعين  و إستمراره فى شغلها بنفسه ، و بحيث إذا إنقطعت هذه الإقامة نهائياً و بقى فيها من بعده من إستضافه أو أواه عد ذلك تأجيراً من الباطن أو نزولاً عن الإيجار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lowKashida"/>
        <w:rPr>
          <w:rFonts w:ascii="Times New Roman" w:eastAsia="Times New Roman" w:hAnsi="Times New Roman" w:cs="Simplified Arabic"/>
          <w:sz w:val="28"/>
          <w:szCs w:val="28"/>
        </w:rPr>
      </w:pPr>
      <w:r w:rsidRPr="00DB2196">
        <w:rPr>
          <w:rFonts w:ascii="Simplified Arabic" w:eastAsia="Times New Roman" w:hAnsi="Simplified Arabic" w:cs="Simplified Arabic"/>
          <w:sz w:val="28"/>
          <w:szCs w:val="28"/>
          <w:rtl/>
        </w:rPr>
        <w:t>7- المساكنة التى تنشىء للمنتفعين بالعين المؤجرة من غير المشار إليهم بالمادة 21 من القانون رقم 52 لسنة 1969 المنطبق على واقعة الدعوى حقاً فى البقاء فيها رغم ترك المستأجر الأصلى العين أو وفاته ، تستلزم و على ما جرى به قضاء هذه المحكمة حصول المشاركة السكنية منذ بدء الإجارة ، و كان البين من الحكم المطعون فيه أن الطاعنين أقاما دفاعهما على ثانيهما يقيم بعين النزاع منذ سنة 1967 ، و كانت الإجارة قد بدأت فى غضون 1956 ، فإن الحكم إذا إنتهى إلى عدم إعتبار هذه الإقامة مساكنة يحق معها للطاعن الثانى البقاء فى العين بعد ترك الطاعن الأول لها يكون قد إنتهى إلى تطبيق صحيح على واقعة الدعوى .</w:t>
      </w:r>
    </w:p>
    <w:p w:rsidR="00DB2196" w:rsidRPr="00DB2196" w:rsidRDefault="00DB2196" w:rsidP="00DB2196">
      <w:pPr>
        <w:spacing w:after="0" w:line="240" w:lineRule="auto"/>
        <w:jc w:val="lowKashida"/>
        <w:rPr>
          <w:rFonts w:ascii="Times New Roman" w:eastAsia="Times New Roman" w:hAnsi="Times New Roman" w:cs="Simplified Arabic"/>
          <w:sz w:val="28"/>
          <w:szCs w:val="28"/>
        </w:rPr>
      </w:pPr>
    </w:p>
    <w:p w:rsidR="00DB2196" w:rsidRPr="00DB2196" w:rsidRDefault="00DB2196" w:rsidP="00DB2196">
      <w:pPr>
        <w:spacing w:after="0" w:line="240" w:lineRule="auto"/>
        <w:jc w:val="center"/>
        <w:rPr>
          <w:rFonts w:ascii="Times New Roman" w:eastAsia="Times New Roman" w:hAnsi="Times New Roman" w:cs="Simplified Arabic"/>
          <w:sz w:val="24"/>
          <w:szCs w:val="24"/>
        </w:rPr>
      </w:pPr>
      <w:r w:rsidRPr="00DB2196">
        <w:rPr>
          <w:rFonts w:ascii="Simplified Arabic" w:eastAsia="Times New Roman" w:hAnsi="Simplified Arabic" w:cs="Simplified Arabic"/>
          <w:sz w:val="24"/>
          <w:szCs w:val="24"/>
          <w:rtl/>
        </w:rPr>
        <w:t>" سنة المكتب الفنى "  30 " رقم الصفحة -   -  قاعدة رقم –   -  "</w:t>
      </w:r>
    </w:p>
    <w:p w:rsidR="00DB2196" w:rsidRPr="00DB2196" w:rsidRDefault="00DB2196" w:rsidP="00DB2196">
      <w:pPr>
        <w:spacing w:after="0" w:line="240" w:lineRule="auto"/>
        <w:rPr>
          <w:rFonts w:ascii="Times New Roman" w:eastAsia="Times New Roman" w:hAnsi="Times New Roman" w:cs="Times New Roman"/>
          <w:sz w:val="24"/>
          <w:szCs w:val="24"/>
        </w:rPr>
      </w:pPr>
    </w:p>
    <w:p w:rsidR="006173AA" w:rsidRPr="00DB2196" w:rsidRDefault="006173AA">
      <w:bookmarkStart w:id="0" w:name="_GoBack"/>
      <w:bookmarkEnd w:id="0"/>
    </w:p>
    <w:sectPr w:rsidR="006173AA" w:rsidRPr="00DB219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C9"/>
    <w:rsid w:val="0003272B"/>
    <w:rsid w:val="006173AA"/>
    <w:rsid w:val="00DB2196"/>
    <w:rsid w:val="00E53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5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2020-06-08T09:36:00Z</dcterms:created>
  <dcterms:modified xsi:type="dcterms:W3CDTF">2020-06-08T09:37:00Z</dcterms:modified>
</cp:coreProperties>
</file>