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819" w:rsidRPr="007B1819" w:rsidRDefault="007B1819" w:rsidP="007B1819">
      <w:pPr>
        <w:spacing w:after="0" w:line="240" w:lineRule="auto"/>
        <w:jc w:val="center"/>
        <w:rPr>
          <w:rFonts w:ascii="Times New Roman" w:eastAsia="Times New Roman" w:hAnsi="Times New Roman" w:cs="PT Bold Heading"/>
          <w:b/>
          <w:bCs/>
          <w:color w:val="008000"/>
          <w:sz w:val="32"/>
          <w:szCs w:val="32"/>
          <w:lang w:eastAsia="ar-SA"/>
        </w:rPr>
      </w:pPr>
      <w:r w:rsidRPr="007B1819">
        <w:rPr>
          <w:rFonts w:ascii="Times New Roman" w:eastAsia="Times New Roman" w:hAnsi="Times New Roman" w:cs="PT Bold Heading" w:hint="cs"/>
          <w:b/>
          <w:bCs/>
          <w:color w:val="008000"/>
          <w:sz w:val="32"/>
          <w:szCs w:val="32"/>
          <w:rtl/>
          <w:lang w:eastAsia="ar-SA"/>
        </w:rPr>
        <w:t xml:space="preserve">الطعن رقم 587 لسنة 46 ق </w:t>
      </w:r>
      <w:r w:rsidRPr="007B1819">
        <w:rPr>
          <w:rFonts w:ascii="Times New Roman" w:eastAsia="Times New Roman" w:hAnsi="Times New Roman" w:cs="Times New Roman" w:hint="cs"/>
          <w:b/>
          <w:bCs/>
          <w:color w:val="008000"/>
          <w:sz w:val="32"/>
          <w:szCs w:val="32"/>
          <w:rtl/>
          <w:lang w:eastAsia="ar-SA"/>
        </w:rPr>
        <w:t>-</w:t>
      </w:r>
      <w:r w:rsidRPr="007B1819">
        <w:rPr>
          <w:rFonts w:ascii="Times New Roman" w:eastAsia="Times New Roman" w:hAnsi="Times New Roman" w:cs="PT Bold Heading" w:hint="cs"/>
          <w:b/>
          <w:bCs/>
          <w:color w:val="008000"/>
          <w:sz w:val="32"/>
          <w:szCs w:val="32"/>
          <w:rtl/>
          <w:lang w:eastAsia="ar-SA"/>
        </w:rPr>
        <w:t xml:space="preserve"> جلسة20 -6-1979</w:t>
      </w:r>
    </w:p>
    <w:p w:rsidR="007B1819" w:rsidRPr="007B1819" w:rsidRDefault="007B1819" w:rsidP="007B1819">
      <w:pPr>
        <w:spacing w:after="0" w:line="240" w:lineRule="auto"/>
        <w:jc w:val="center"/>
        <w:rPr>
          <w:rFonts w:ascii="Times New Roman" w:eastAsia="Times New Roman" w:hAnsi="Times New Roman" w:cs="PT Bold Heading"/>
          <w:b/>
          <w:bCs/>
          <w:color w:val="008000"/>
          <w:sz w:val="32"/>
          <w:szCs w:val="32"/>
          <w:lang w:eastAsia="ar-SA"/>
        </w:rPr>
      </w:pPr>
      <w:r w:rsidRPr="007B1819">
        <w:rPr>
          <w:rFonts w:ascii="Times New Roman" w:eastAsia="Times New Roman" w:hAnsi="Times New Roman" w:cs="PT Bold Heading" w:hint="cs"/>
          <w:b/>
          <w:bCs/>
          <w:color w:val="008000"/>
          <w:sz w:val="32"/>
          <w:szCs w:val="32"/>
          <w:rtl/>
          <w:lang w:eastAsia="ar-SA"/>
        </w:rPr>
        <w:t>الموضوع ،  و  الموجز :</w:t>
      </w:r>
    </w:p>
    <w:p w:rsidR="007B1819" w:rsidRPr="007B1819" w:rsidRDefault="007B1819" w:rsidP="007B1819">
      <w:pPr>
        <w:spacing w:after="0" w:line="240" w:lineRule="auto"/>
        <w:jc w:val="lowKashida"/>
        <w:rPr>
          <w:rFonts w:ascii="Times New Roman" w:eastAsia="Times New Roman" w:hAnsi="Times New Roman" w:cs="Simplified Arabic"/>
          <w:b/>
          <w:bCs/>
          <w:sz w:val="32"/>
          <w:szCs w:val="32"/>
        </w:rPr>
      </w:pPr>
    </w:p>
    <w:p w:rsidR="007B1819" w:rsidRPr="007B1819" w:rsidRDefault="007B1819" w:rsidP="007B1819">
      <w:pPr>
        <w:spacing w:after="0" w:line="240" w:lineRule="auto"/>
        <w:jc w:val="lowKashida"/>
        <w:rPr>
          <w:rFonts w:ascii="Times New Roman" w:eastAsia="Times New Roman" w:hAnsi="Times New Roman" w:cs="Simplified Arabic"/>
          <w:b/>
          <w:bCs/>
          <w:sz w:val="28"/>
          <w:szCs w:val="28"/>
        </w:rPr>
      </w:pPr>
      <w:r w:rsidRPr="007B1819">
        <w:rPr>
          <w:rFonts w:ascii="Simplified Arabic" w:eastAsia="Times New Roman" w:hAnsi="Simplified Arabic" w:cs="Simplified Arabic"/>
          <w:b/>
          <w:bCs/>
          <w:sz w:val="32"/>
          <w:szCs w:val="32"/>
          <w:rtl/>
        </w:rPr>
        <w:t xml:space="preserve">(1) </w:t>
      </w:r>
      <w:r w:rsidRPr="007B1819">
        <w:rPr>
          <w:rFonts w:ascii="Simplified Arabic" w:eastAsia="Times New Roman" w:hAnsi="Simplified Arabic" w:cs="Simplified Arabic"/>
          <w:b/>
          <w:bCs/>
          <w:sz w:val="28"/>
          <w:szCs w:val="24"/>
          <w:rtl/>
        </w:rPr>
        <w:t xml:space="preserve">   </w:t>
      </w:r>
      <w:r w:rsidRPr="007B1819">
        <w:rPr>
          <w:rFonts w:ascii="Simplified Arabic" w:eastAsia="Times New Roman" w:hAnsi="Simplified Arabic" w:cs="Simplified Arabic"/>
          <w:b/>
          <w:bCs/>
          <w:sz w:val="28"/>
          <w:szCs w:val="28"/>
          <w:rtl/>
        </w:rPr>
        <w:t xml:space="preserve"> بطلان</w:t>
      </w:r>
    </w:p>
    <w:p w:rsidR="007B1819" w:rsidRPr="007B1819" w:rsidRDefault="007B1819" w:rsidP="007B1819">
      <w:pPr>
        <w:spacing w:after="0" w:line="240" w:lineRule="auto"/>
        <w:jc w:val="lowKashida"/>
        <w:rPr>
          <w:rFonts w:ascii="Times New Roman" w:eastAsia="Times New Roman" w:hAnsi="Times New Roman" w:cs="Simplified Arabic"/>
          <w:sz w:val="28"/>
          <w:szCs w:val="28"/>
        </w:rPr>
      </w:pPr>
      <w:r w:rsidRPr="007B1819">
        <w:rPr>
          <w:rFonts w:ascii="Times New Roman" w:eastAsia="Times New Roman" w:hAnsi="Times New Roman" w:cs="Simplified Arabic"/>
          <w:sz w:val="28"/>
          <w:szCs w:val="28"/>
        </w:rPr>
        <w:t>-</w:t>
      </w:r>
      <w:r w:rsidRPr="007B1819">
        <w:rPr>
          <w:rFonts w:ascii="Simplified Arabic" w:eastAsia="Times New Roman" w:hAnsi="Simplified Arabic" w:cs="Simplified Arabic"/>
          <w:sz w:val="28"/>
          <w:szCs w:val="28"/>
          <w:rtl/>
        </w:rPr>
        <w:t xml:space="preserve"> ثبوت أن أحد العقارات المحجوز عليها يكفى للوفاء بحقوق الدائنين </w:t>
      </w:r>
      <w:proofErr w:type="gramStart"/>
      <w:r w:rsidRPr="007B1819">
        <w:rPr>
          <w:rFonts w:ascii="Simplified Arabic" w:eastAsia="Times New Roman" w:hAnsi="Simplified Arabic" w:cs="Simplified Arabic"/>
          <w:sz w:val="28"/>
          <w:szCs w:val="28"/>
          <w:rtl/>
        </w:rPr>
        <w:t>الحاجزين .</w:t>
      </w:r>
      <w:proofErr w:type="gramEnd"/>
      <w:r w:rsidRPr="007B1819">
        <w:rPr>
          <w:rFonts w:ascii="Simplified Arabic" w:eastAsia="Times New Roman" w:hAnsi="Simplified Arabic" w:cs="Simplified Arabic"/>
          <w:sz w:val="28"/>
          <w:szCs w:val="28"/>
          <w:rtl/>
        </w:rPr>
        <w:t xml:space="preserve"> للمدين طلب قصر التنفيذ على هذا العقار بطريق الاعتراض علي قائمة شروط البيع أو فى أية حالة تكون عليها الإجراءات . عدم جواز رفع المدين دعوى أصلية بطلب بطلان الاجراءات</w:t>
      </w:r>
    </w:p>
    <w:p w:rsidR="007B1819" w:rsidRPr="007B1819" w:rsidRDefault="007B1819" w:rsidP="007B1819">
      <w:pPr>
        <w:spacing w:after="0" w:line="240" w:lineRule="auto"/>
        <w:jc w:val="lowKashida"/>
        <w:rPr>
          <w:rFonts w:ascii="Simplified Arabic" w:eastAsia="Times New Roman" w:hAnsi="Simplified Arabic" w:cs="Simplified Arabic"/>
          <w:sz w:val="28"/>
          <w:szCs w:val="28"/>
        </w:rPr>
      </w:pPr>
    </w:p>
    <w:p w:rsidR="007B1819" w:rsidRPr="007B1819" w:rsidRDefault="007B1819" w:rsidP="007B1819">
      <w:pPr>
        <w:spacing w:after="0" w:line="240" w:lineRule="auto"/>
        <w:jc w:val="center"/>
        <w:rPr>
          <w:rFonts w:ascii="Times New Roman" w:eastAsia="Times New Roman" w:hAnsi="Times New Roman" w:cs="PT Bold Heading"/>
          <w:b/>
          <w:bCs/>
          <w:color w:val="008000"/>
          <w:sz w:val="32"/>
          <w:szCs w:val="32"/>
          <w:rtl/>
          <w:lang w:eastAsia="ar-SA"/>
        </w:rPr>
      </w:pPr>
      <w:r w:rsidRPr="007B1819">
        <w:rPr>
          <w:rFonts w:ascii="Times New Roman" w:eastAsia="Times New Roman" w:hAnsi="Times New Roman" w:cs="PT Bold Heading" w:hint="cs"/>
          <w:b/>
          <w:bCs/>
          <w:color w:val="008000"/>
          <w:sz w:val="32"/>
          <w:szCs w:val="32"/>
          <w:rtl/>
          <w:lang w:eastAsia="ar-SA"/>
        </w:rPr>
        <w:t>القاعدة</w:t>
      </w:r>
    </w:p>
    <w:p w:rsidR="007B1819" w:rsidRPr="007B1819" w:rsidRDefault="007B1819" w:rsidP="007B1819">
      <w:pPr>
        <w:spacing w:after="0" w:line="240" w:lineRule="auto"/>
        <w:jc w:val="lowKashida"/>
        <w:rPr>
          <w:rFonts w:ascii="Times New Roman" w:eastAsia="Times New Roman" w:hAnsi="Times New Roman" w:cs="Simplified Arabic" w:hint="cs"/>
          <w:sz w:val="28"/>
          <w:szCs w:val="28"/>
          <w:rtl/>
        </w:rPr>
      </w:pPr>
      <w:r w:rsidRPr="007B1819">
        <w:rPr>
          <w:rFonts w:ascii="Simplified Arabic" w:eastAsia="Times New Roman" w:hAnsi="Simplified Arabic" w:cs="Simplified Arabic"/>
          <w:sz w:val="28"/>
          <w:szCs w:val="28"/>
          <w:rtl/>
        </w:rPr>
        <w:t>1- من حق الدائن - الذى حصل على سند تنفيذي بدينه - أن يباشر التنفيذ على جميع أموال مدينه أو على جميع عناصر تركته بعد وفاته لأن ديون المورث تتعلق بتركته لا بذمة ورثته فلا تنقسم عليهم ، كما أن التركة لا تخلص لهم إلا بعد سداد ديونها إعمالاً لمبدأ أن لا تركة إلا بعد سداد الديون ، و للمدين الذى يجرى التنفيذ على عقاراته أن يطلب هو أو ورثته من بعده - طبقاً لنص المادة 414 من قانون المرافعات - و بطريق الإعتراض على قائمة شروط البيع وقف إجراءات التنفيذ على عقار أو أكثر من العقارات المبيعة فى تنبيه نزع الملكية إذا أثبت أو أثبتوا أن قيمة العقار الذى تظل الإجراءات مستمرة بالنسبة له تكفى الوفاء بحقوق الدائنين الحاجزين أو الذين صاروا طرفاً فيها وفقاً لأحكام المادة 417 من ذات القانون ، كما له و لهم إبداء هذا الطلب المتقدم إذا طرأت ظروف تبرره فى أية حالة تكون عليها الإجراءات - إلى ما قبل إعتماد العطاء ، و إذا لم يبد حتى ذلك الوقت سقط حقه و حقهم فيه و يتمتع عليه و عليهم - تبعاً  لذلك - رفع دعوى أصلية بطلب بطلان إجراءات التنفيذ على هذا الأساس ، رفع دعوى أصلية بطلب بطلان إجراءات التنفيذ على هذا الأساس ، لما  كان ذلك . و كان الحكم المطعون فيه قد قضى ببطلان حكم مرسى المزاد الصادر فى الدعوى 218 لسنة 1969 بيوع منوف بالنسبة للنصيب العينى المطعون ضدهم السنة الأولى فى تركة مورثهم المدين بالرغم من أن الدائن مورث للطاعنين كان يباشر التنفيذ على عقارات التركة بالباقى من دينه و لم يستعمل المطعون ضدهم الستة الأول حقهم فى طلب وقف إجراءات التنفيذ بالنسبة لبعض عقارات التركة حتى حكم بإيقاع البيع فى الدعوى المذكورة فإن الحكم المطعون فيه يكون قد أخطأ فى تطبيق القانون .</w:t>
      </w:r>
    </w:p>
    <w:p w:rsidR="007B1819" w:rsidRPr="007B1819" w:rsidRDefault="007B1819" w:rsidP="007B1819">
      <w:pPr>
        <w:spacing w:after="0" w:line="240" w:lineRule="auto"/>
        <w:jc w:val="lowKashida"/>
        <w:rPr>
          <w:rFonts w:ascii="Times New Roman" w:eastAsia="Times New Roman" w:hAnsi="Times New Roman" w:cs="Simplified Arabic"/>
          <w:sz w:val="28"/>
          <w:szCs w:val="28"/>
        </w:rPr>
      </w:pPr>
    </w:p>
    <w:p w:rsidR="007B1819" w:rsidRPr="007B1819" w:rsidRDefault="007B1819" w:rsidP="007B1819">
      <w:pPr>
        <w:spacing w:after="0" w:line="240" w:lineRule="auto"/>
        <w:jc w:val="center"/>
        <w:rPr>
          <w:rFonts w:ascii="Times New Roman" w:eastAsia="Times New Roman" w:hAnsi="Times New Roman" w:cs="Simplified Arabic"/>
          <w:sz w:val="24"/>
          <w:szCs w:val="24"/>
        </w:rPr>
      </w:pPr>
      <w:r w:rsidRPr="007B1819">
        <w:rPr>
          <w:rFonts w:ascii="Simplified Arabic" w:eastAsia="Times New Roman" w:hAnsi="Simplified Arabic" w:cs="Simplified Arabic"/>
          <w:sz w:val="24"/>
          <w:szCs w:val="24"/>
          <w:rtl/>
        </w:rPr>
        <w:t>" سنة المكتب الفنى "  30 " رقم الصفحة -  707 -  قاعدة رقم –   -  "</w:t>
      </w:r>
    </w:p>
    <w:p w:rsidR="007B1819" w:rsidRPr="007B1819" w:rsidRDefault="007B1819" w:rsidP="007B1819">
      <w:pPr>
        <w:spacing w:after="0" w:line="240" w:lineRule="auto"/>
        <w:rPr>
          <w:rFonts w:ascii="Times New Roman" w:eastAsia="Times New Roman" w:hAnsi="Times New Roman" w:cs="Times New Roman"/>
          <w:sz w:val="24"/>
          <w:szCs w:val="24"/>
        </w:rPr>
      </w:pPr>
    </w:p>
    <w:p w:rsidR="006173AA" w:rsidRPr="007B1819" w:rsidRDefault="006173AA">
      <w:bookmarkStart w:id="0" w:name="_GoBack"/>
      <w:bookmarkEnd w:id="0"/>
    </w:p>
    <w:sectPr w:rsidR="006173AA" w:rsidRPr="007B181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2B"/>
    <w:rsid w:val="0003272B"/>
    <w:rsid w:val="006173AA"/>
    <w:rsid w:val="007B1819"/>
    <w:rsid w:val="008B3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2020-06-08T09:46:00Z</dcterms:created>
  <dcterms:modified xsi:type="dcterms:W3CDTF">2020-06-08T09:47:00Z</dcterms:modified>
</cp:coreProperties>
</file>