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AB" w:rsidRPr="00D338AB" w:rsidRDefault="00D338AB" w:rsidP="00D338AB">
      <w:pPr>
        <w:spacing w:after="0" w:line="240" w:lineRule="auto"/>
        <w:jc w:val="center"/>
        <w:rPr>
          <w:rFonts w:ascii="Times New Roman" w:eastAsia="Times New Roman" w:hAnsi="Times New Roman" w:cs="PT Bold Heading"/>
          <w:b/>
          <w:bCs/>
          <w:color w:val="008000"/>
          <w:sz w:val="32"/>
          <w:szCs w:val="32"/>
          <w:lang w:eastAsia="ar-SA"/>
        </w:rPr>
      </w:pPr>
      <w:r w:rsidRPr="00D338AB">
        <w:rPr>
          <w:rFonts w:ascii="Times New Roman" w:eastAsia="Times New Roman" w:hAnsi="Times New Roman" w:cs="PT Bold Heading" w:hint="cs"/>
          <w:b/>
          <w:bCs/>
          <w:color w:val="008000"/>
          <w:sz w:val="32"/>
          <w:szCs w:val="32"/>
          <w:rtl/>
          <w:lang w:eastAsia="ar-SA"/>
        </w:rPr>
        <w:t>الطعن رقم 588 لسنة 44 ق - جلسة 6 -12-1979</w:t>
      </w:r>
    </w:p>
    <w:p w:rsidR="00D338AB" w:rsidRPr="00D338AB" w:rsidRDefault="00D338AB" w:rsidP="00D338AB">
      <w:pPr>
        <w:spacing w:after="0" w:line="240" w:lineRule="auto"/>
        <w:jc w:val="center"/>
        <w:rPr>
          <w:rFonts w:ascii="Times New Roman" w:eastAsia="Times New Roman" w:hAnsi="Times New Roman" w:cs="PT Bold Heading" w:hint="cs"/>
          <w:b/>
          <w:bCs/>
          <w:color w:val="008000"/>
          <w:sz w:val="32"/>
          <w:szCs w:val="32"/>
          <w:rtl/>
          <w:lang w:eastAsia="ar-SA"/>
        </w:rPr>
      </w:pPr>
      <w:r w:rsidRPr="00D338AB">
        <w:rPr>
          <w:rFonts w:ascii="Simplified Arabic" w:eastAsia="Times New Roman" w:hAnsi="Simplified Arabic" w:cs="Simplified Arabic"/>
          <w:sz w:val="28"/>
          <w:szCs w:val="28"/>
          <w:rtl/>
        </w:rPr>
        <w:t xml:space="preserve"> </w:t>
      </w:r>
      <w:r w:rsidRPr="00D338AB">
        <w:rPr>
          <w:rFonts w:ascii="Times New Roman" w:eastAsia="Times New Roman" w:hAnsi="Times New Roman" w:cs="PT Bold Heading" w:hint="cs"/>
          <w:b/>
          <w:bCs/>
          <w:color w:val="008000"/>
          <w:sz w:val="32"/>
          <w:szCs w:val="32"/>
          <w:rtl/>
          <w:lang w:eastAsia="ar-SA"/>
        </w:rPr>
        <w:t>الموضوع ،  و  الموجز :</w:t>
      </w:r>
    </w:p>
    <w:p w:rsidR="00D338AB" w:rsidRPr="00D338AB" w:rsidRDefault="00D338AB" w:rsidP="00D338AB">
      <w:pPr>
        <w:spacing w:after="0" w:line="240" w:lineRule="auto"/>
        <w:jc w:val="lowKashida"/>
        <w:rPr>
          <w:rFonts w:ascii="Simplified Arabic" w:eastAsia="Times New Roman" w:hAnsi="Simplified Arabic" w:cs="Simplified Arabic"/>
          <w:b/>
          <w:bCs/>
          <w:sz w:val="32"/>
          <w:szCs w:val="32"/>
        </w:rPr>
      </w:pPr>
    </w:p>
    <w:p w:rsidR="00D338AB" w:rsidRPr="00D338AB" w:rsidRDefault="00D338AB" w:rsidP="00D338AB">
      <w:pPr>
        <w:spacing w:after="0" w:line="240" w:lineRule="auto"/>
        <w:jc w:val="lowKashida"/>
        <w:rPr>
          <w:rFonts w:ascii="Times New Roman" w:eastAsia="Times New Roman" w:hAnsi="Times New Roman" w:cs="Simplified Arabic"/>
          <w:b/>
          <w:bCs/>
          <w:sz w:val="28"/>
          <w:szCs w:val="28"/>
          <w:rtl/>
        </w:rPr>
      </w:pPr>
      <w:r w:rsidRPr="00D338AB">
        <w:rPr>
          <w:rFonts w:ascii="Simplified Arabic" w:eastAsia="Times New Roman" w:hAnsi="Simplified Arabic" w:cs="Simplified Arabic"/>
          <w:b/>
          <w:bCs/>
          <w:sz w:val="32"/>
          <w:szCs w:val="32"/>
          <w:rtl/>
        </w:rPr>
        <w:t xml:space="preserve">(1) </w:t>
      </w:r>
      <w:r w:rsidRPr="00D338AB">
        <w:rPr>
          <w:rFonts w:ascii="Simplified Arabic" w:eastAsia="Times New Roman" w:hAnsi="Simplified Arabic" w:cs="Simplified Arabic"/>
          <w:b/>
          <w:bCs/>
          <w:sz w:val="28"/>
          <w:szCs w:val="24"/>
          <w:rtl/>
        </w:rPr>
        <w:t xml:space="preserve">   </w:t>
      </w:r>
      <w:r w:rsidRPr="00D338AB">
        <w:rPr>
          <w:rFonts w:ascii="Simplified Arabic" w:eastAsia="Times New Roman" w:hAnsi="Simplified Arabic" w:cs="Simplified Arabic"/>
          <w:b/>
          <w:bCs/>
          <w:sz w:val="28"/>
          <w:szCs w:val="28"/>
          <w:rtl/>
        </w:rPr>
        <w:t>رسوم</w:t>
      </w:r>
    </w:p>
    <w:p w:rsidR="00D338AB" w:rsidRPr="00D338AB" w:rsidRDefault="00D338AB" w:rsidP="00D338AB">
      <w:pPr>
        <w:spacing w:after="0" w:line="240" w:lineRule="auto"/>
        <w:jc w:val="lowKashida"/>
        <w:rPr>
          <w:rFonts w:ascii="Simplified Arabic" w:eastAsia="Times New Roman" w:hAnsi="Simplified Arabic" w:cs="Simplified Arabic"/>
          <w:sz w:val="28"/>
          <w:szCs w:val="28"/>
        </w:rPr>
      </w:pPr>
      <w:r w:rsidRPr="00D338AB">
        <w:rPr>
          <w:rFonts w:ascii="Times New Roman" w:eastAsia="Times New Roman" w:hAnsi="Times New Roman" w:cs="Simplified Arabic"/>
          <w:sz w:val="28"/>
          <w:szCs w:val="28"/>
        </w:rPr>
        <w:t>-</w:t>
      </w:r>
      <w:r w:rsidRPr="00D338AB">
        <w:rPr>
          <w:rFonts w:ascii="Simplified Arabic" w:eastAsia="Times New Roman" w:hAnsi="Simplified Arabic" w:cs="Simplified Arabic"/>
          <w:sz w:val="28"/>
          <w:szCs w:val="28"/>
          <w:rtl/>
        </w:rPr>
        <w:t xml:space="preserve"> أمر تقدير الرسوم التكميلية المستحقة للشهر العقارى وجوب رفع التظلم عنه بتقرير فى قلم كتاب المحكمة الابتدائية فى كافة </w:t>
      </w:r>
      <w:proofErr w:type="gramStart"/>
      <w:r w:rsidRPr="00D338AB">
        <w:rPr>
          <w:rFonts w:ascii="Simplified Arabic" w:eastAsia="Times New Roman" w:hAnsi="Simplified Arabic" w:cs="Simplified Arabic"/>
          <w:sz w:val="28"/>
          <w:szCs w:val="28"/>
          <w:rtl/>
        </w:rPr>
        <w:t>الأحوال .</w:t>
      </w:r>
      <w:proofErr w:type="gramEnd"/>
      <w:r w:rsidRPr="00D338AB">
        <w:rPr>
          <w:rFonts w:ascii="Simplified Arabic" w:eastAsia="Times New Roman" w:hAnsi="Simplified Arabic" w:cs="Simplified Arabic"/>
          <w:sz w:val="28"/>
          <w:szCs w:val="28"/>
          <w:rtl/>
        </w:rPr>
        <w:t xml:space="preserve"> لا محل للتفرقة بين المنازعة فى مقدار الرسوم أو فى أساس الالتزام</w:t>
      </w:r>
    </w:p>
    <w:p w:rsidR="00D338AB" w:rsidRPr="00D338AB" w:rsidRDefault="00D338AB" w:rsidP="00D338AB">
      <w:pPr>
        <w:spacing w:after="0" w:line="240" w:lineRule="auto"/>
        <w:jc w:val="lowKashida"/>
        <w:rPr>
          <w:rFonts w:ascii="Times New Roman" w:eastAsia="Times New Roman" w:hAnsi="Times New Roman" w:cs="Simplified Arabic"/>
          <w:b/>
          <w:bCs/>
          <w:sz w:val="28"/>
          <w:szCs w:val="24"/>
          <w:rtl/>
        </w:rPr>
      </w:pPr>
    </w:p>
    <w:p w:rsidR="00D338AB" w:rsidRPr="00D338AB" w:rsidRDefault="00D338AB" w:rsidP="00D338AB">
      <w:pPr>
        <w:spacing w:after="0" w:line="240" w:lineRule="auto"/>
        <w:jc w:val="center"/>
        <w:rPr>
          <w:rFonts w:ascii="Times New Roman" w:eastAsia="Times New Roman" w:hAnsi="Times New Roman" w:cs="PT Bold Heading"/>
          <w:b/>
          <w:bCs/>
          <w:color w:val="008000"/>
          <w:sz w:val="32"/>
          <w:szCs w:val="32"/>
          <w:lang w:eastAsia="ar-SA"/>
        </w:rPr>
      </w:pPr>
      <w:r w:rsidRPr="00D338AB">
        <w:rPr>
          <w:rFonts w:ascii="Times New Roman" w:eastAsia="Times New Roman" w:hAnsi="Times New Roman" w:cs="PT Bold Heading" w:hint="cs"/>
          <w:b/>
          <w:bCs/>
          <w:color w:val="008000"/>
          <w:sz w:val="32"/>
          <w:szCs w:val="32"/>
          <w:rtl/>
          <w:lang w:eastAsia="ar-SA"/>
        </w:rPr>
        <w:t>القاعدة</w:t>
      </w:r>
    </w:p>
    <w:p w:rsidR="00D338AB" w:rsidRPr="00D338AB" w:rsidRDefault="00D338AB" w:rsidP="00D338AB">
      <w:pPr>
        <w:spacing w:after="0" w:line="240" w:lineRule="auto"/>
        <w:jc w:val="lowKashida"/>
        <w:rPr>
          <w:rFonts w:ascii="Times New Roman" w:eastAsia="Times New Roman" w:hAnsi="Times New Roman" w:cs="Simplified Arabic"/>
          <w:sz w:val="28"/>
          <w:szCs w:val="28"/>
        </w:rPr>
      </w:pPr>
      <w:r w:rsidRPr="00D338AB">
        <w:rPr>
          <w:rFonts w:ascii="Simplified Arabic" w:eastAsia="Times New Roman" w:hAnsi="Simplified Arabic" w:cs="Simplified Arabic"/>
          <w:sz w:val="28"/>
          <w:szCs w:val="28"/>
          <w:rtl/>
        </w:rPr>
        <w:t xml:space="preserve">1- النص فى المادة 26 من القانون رقم 70 لسنة 1964 بشأن رسوم التوثيق و الشهر على أنه " فى الأحوال التى يستحق فيها رسوم تكميلية يصدر أمين المكتب المختص أمر تقدير بتلك الرسوم ، و يعلن هذا الأمر إلى أولى الشأن بكتاب موصى عليه مصحوب بعلم الوصول أو على يد أحد محضري المحكمة و يجوز لذوى الشأن - فى غير حالة تقدير القيمة بمعرفة أهل الخبرة المنصوص عليها فى المادة 21 منه - التظلم من أمر التقدير خلال ثمانية أيام من تاريخ الإعلان و إلا أصبح الأمر نهائياً ، و يكون تنفيذه بطريق الحجز إلإدراى ، و يحصل التظلم أمام المحضر عند إعلان أمر التقدير أو بتقرير فى قلم الكتاب ، و يرفع التظلم إلى رئيس المحكمة الابتدائية الكائن بدائرتها المكتب الذى أصدر الأمر ، و  يكون حكمها غير قابل للطعن " قد ورد عاماً مطلقاً دون تخصيص ، ينص على التظلم من أمر التقدير مما مفاده أن المشرع قصد بذلك إلى أن يكون رفع التظلم من الأمر الصادر بتقدير الرسوم التكميلية بهذا الطريق الإستثنائى - إما أمام المحضر عند الإعلان أو بتقرير فى قلم الكتاب - أياً كانت طبيعة المنازعة - سواء أنصبت هذه المنازعة على مقدار الرسوم المقدرة أم تناولت أساس الالتزام بهذه الرسوم و ذلك تبسيطاً للإجراءات على ما أشارت إليه المذكرة الإيضاحية ، و لا محل للقياس على حالة المعارضة فى الرسوم القضائية ، ذلك أن النص فى المادة 17 من القانون 90 لسنة 1944 بشأن الرسوم القضائية ورد مخصصاً ينص على المعارضة فى مقدار الرسوم الصادر بها الأمر مما مفاده أن طريق المعارضة الذى رسمته المادة 17 المشار إليه قاصر على حالة المنازعة فى مقدار الرسوم القضائية المقررة ، أما المنازعة فى أساس الإلتزام بهذه الرسوم فترفع بطريق الإجراءات  العادية المنصوص عليها فى قانون المرافعات لرفع الدعاوى ، و هو ما أفصحت عنه المذكرة الإيضاحية للقانون 90 لسنة 1974 المشار إليه . </w:t>
      </w:r>
    </w:p>
    <w:p w:rsidR="00D338AB" w:rsidRPr="00D338AB" w:rsidRDefault="00D338AB" w:rsidP="00D338AB">
      <w:pPr>
        <w:spacing w:after="0" w:line="240" w:lineRule="auto"/>
        <w:jc w:val="lowKashida"/>
        <w:rPr>
          <w:rFonts w:ascii="Times New Roman" w:eastAsia="Times New Roman" w:hAnsi="Times New Roman" w:cs="Simplified Arabic"/>
          <w:sz w:val="28"/>
          <w:szCs w:val="28"/>
        </w:rPr>
      </w:pPr>
    </w:p>
    <w:p w:rsidR="00D338AB" w:rsidRPr="00D338AB" w:rsidRDefault="00D338AB" w:rsidP="00D338AB">
      <w:pPr>
        <w:spacing w:after="0" w:line="240" w:lineRule="auto"/>
        <w:jc w:val="lowKashida"/>
        <w:rPr>
          <w:rFonts w:ascii="Times New Roman" w:eastAsia="Times New Roman" w:hAnsi="Times New Roman" w:cs="Simplified Arabic"/>
          <w:sz w:val="28"/>
          <w:szCs w:val="28"/>
        </w:rPr>
      </w:pPr>
      <w:r w:rsidRPr="00D338AB">
        <w:rPr>
          <w:rFonts w:ascii="Simplified Arabic" w:eastAsia="Times New Roman" w:hAnsi="Simplified Arabic" w:cs="Simplified Arabic"/>
          <w:sz w:val="28"/>
          <w:szCs w:val="28"/>
          <w:rtl/>
        </w:rPr>
        <w:lastRenderedPageBreak/>
        <w:t xml:space="preserve">2- المقرر وفقاً لنص المادة 26 من القانون 70 لسنة 1964 بشأن رسوم التوثيق و الشهر أن الحكم الصادر فى التظلم من أمر تقدير الرسوم التكميلية يكون غير قابل للطعن إلا أنه - و على ما جرى عليه قضاء هذه المحكمة - لا يكون ذلك إلا إذا فصل فى منازعة فى تقدير هذه الرسوم ، أما إذا فصل فيما يثور من منازعات أخرى  فإنه يخضع من حيث قابليته للطعن للقواعد العامة فى قانون المرافعات . </w:t>
      </w:r>
    </w:p>
    <w:p w:rsidR="00D338AB" w:rsidRPr="00D338AB" w:rsidRDefault="00D338AB" w:rsidP="00D338AB">
      <w:pPr>
        <w:spacing w:after="0" w:line="240" w:lineRule="auto"/>
        <w:jc w:val="center"/>
        <w:rPr>
          <w:rFonts w:ascii="Times New Roman" w:eastAsia="Times New Roman" w:hAnsi="Times New Roman" w:cs="PT Bold Heading"/>
          <w:b/>
          <w:bCs/>
          <w:color w:val="008000"/>
          <w:sz w:val="32"/>
          <w:szCs w:val="32"/>
          <w:lang w:eastAsia="ar-SA"/>
        </w:rPr>
      </w:pPr>
    </w:p>
    <w:p w:rsidR="00D338AB" w:rsidRPr="00D338AB" w:rsidRDefault="00D338AB" w:rsidP="00D338AB">
      <w:pPr>
        <w:spacing w:after="0" w:line="240" w:lineRule="auto"/>
        <w:rPr>
          <w:rFonts w:ascii="Times New Roman" w:eastAsia="Times New Roman" w:hAnsi="Times New Roman" w:cs="Times New Roman" w:hint="cs"/>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64"/>
    <w:rsid w:val="0003272B"/>
    <w:rsid w:val="001E2464"/>
    <w:rsid w:val="006173AA"/>
    <w:rsid w:val="00D338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7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2020-06-08T10:21:00Z</dcterms:created>
  <dcterms:modified xsi:type="dcterms:W3CDTF">2020-06-08T10:21:00Z</dcterms:modified>
</cp:coreProperties>
</file>