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99" w:rsidRPr="00CD6899" w:rsidRDefault="00CD6899" w:rsidP="00CD6899">
      <w:pPr>
        <w:spacing w:after="0" w:line="240" w:lineRule="auto"/>
        <w:jc w:val="center"/>
        <w:rPr>
          <w:rFonts w:ascii="Times New Roman" w:eastAsia="Times New Roman" w:hAnsi="Times New Roman" w:cs="PT Bold Heading"/>
          <w:b/>
          <w:bCs/>
          <w:color w:val="008000"/>
          <w:sz w:val="32"/>
          <w:szCs w:val="32"/>
          <w:lang w:eastAsia="ar-SA"/>
        </w:rPr>
      </w:pPr>
      <w:r w:rsidRPr="00CD6899">
        <w:rPr>
          <w:rFonts w:ascii="Times New Roman" w:eastAsia="Times New Roman" w:hAnsi="Times New Roman" w:cs="PT Bold Heading" w:hint="cs"/>
          <w:b/>
          <w:bCs/>
          <w:color w:val="008000"/>
          <w:sz w:val="32"/>
          <w:szCs w:val="32"/>
          <w:rtl/>
          <w:lang w:eastAsia="ar-SA"/>
        </w:rPr>
        <w:t xml:space="preserve">الطعن رقم 548 لسنة 43 ق </w:t>
      </w:r>
      <w:r w:rsidRPr="00CD6899">
        <w:rPr>
          <w:rFonts w:ascii="Times New Roman" w:eastAsia="Times New Roman" w:hAnsi="Times New Roman" w:cs="Times New Roman" w:hint="cs"/>
          <w:b/>
          <w:bCs/>
          <w:color w:val="008000"/>
          <w:sz w:val="32"/>
          <w:szCs w:val="32"/>
          <w:rtl/>
          <w:lang w:eastAsia="ar-SA"/>
        </w:rPr>
        <w:t>-</w:t>
      </w:r>
      <w:r w:rsidRPr="00CD6899">
        <w:rPr>
          <w:rFonts w:ascii="Times New Roman" w:eastAsia="Times New Roman" w:hAnsi="Times New Roman" w:cs="PT Bold Heading" w:hint="cs"/>
          <w:b/>
          <w:bCs/>
          <w:color w:val="008000"/>
          <w:sz w:val="32"/>
          <w:szCs w:val="32"/>
          <w:rtl/>
          <w:lang w:eastAsia="ar-SA"/>
        </w:rPr>
        <w:t xml:space="preserve"> جلسة 2-6-1979</w:t>
      </w:r>
    </w:p>
    <w:p w:rsidR="00CD6899" w:rsidRPr="00CD6899" w:rsidRDefault="00CD6899" w:rsidP="00CD6899">
      <w:pPr>
        <w:spacing w:after="0" w:line="240" w:lineRule="auto"/>
        <w:jc w:val="center"/>
        <w:rPr>
          <w:rFonts w:ascii="Times New Roman" w:eastAsia="Times New Roman" w:hAnsi="Times New Roman" w:cs="PT Bold Heading"/>
          <w:b/>
          <w:bCs/>
          <w:color w:val="008000"/>
          <w:sz w:val="32"/>
          <w:szCs w:val="32"/>
          <w:lang w:eastAsia="ar-SA"/>
        </w:rPr>
      </w:pPr>
      <w:r w:rsidRPr="00CD6899">
        <w:rPr>
          <w:rFonts w:ascii="Times New Roman" w:eastAsia="Times New Roman" w:hAnsi="Times New Roman" w:cs="PT Bold Heading" w:hint="cs"/>
          <w:b/>
          <w:bCs/>
          <w:color w:val="008000"/>
          <w:sz w:val="32"/>
          <w:szCs w:val="32"/>
          <w:rtl/>
          <w:lang w:eastAsia="ar-SA"/>
        </w:rPr>
        <w:t>الموضوع ،  و  الموجز :</w:t>
      </w:r>
    </w:p>
    <w:p w:rsidR="00CD6899" w:rsidRPr="00CD6899" w:rsidRDefault="00CD6899" w:rsidP="00CD6899">
      <w:pPr>
        <w:spacing w:after="0" w:line="240" w:lineRule="auto"/>
        <w:jc w:val="lowKashida"/>
        <w:rPr>
          <w:rFonts w:ascii="Times New Roman" w:eastAsia="Times New Roman" w:hAnsi="Times New Roman" w:cs="Simplified Arabic"/>
          <w:b/>
          <w:bCs/>
          <w:sz w:val="32"/>
          <w:szCs w:val="32"/>
        </w:rPr>
      </w:pPr>
    </w:p>
    <w:p w:rsidR="00CD6899" w:rsidRPr="00CD6899" w:rsidRDefault="00CD6899" w:rsidP="00CD6899">
      <w:pPr>
        <w:spacing w:after="0" w:line="240" w:lineRule="auto"/>
        <w:jc w:val="lowKashida"/>
        <w:rPr>
          <w:rFonts w:ascii="Times New Roman" w:eastAsia="Times New Roman" w:hAnsi="Times New Roman" w:cs="Simplified Arabic"/>
          <w:b/>
          <w:bCs/>
          <w:sz w:val="28"/>
          <w:szCs w:val="28"/>
        </w:rPr>
      </w:pPr>
      <w:r w:rsidRPr="00CD6899">
        <w:rPr>
          <w:rFonts w:ascii="Simplified Arabic" w:eastAsia="Times New Roman" w:hAnsi="Simplified Arabic" w:cs="Simplified Arabic"/>
          <w:b/>
          <w:bCs/>
          <w:sz w:val="32"/>
          <w:szCs w:val="32"/>
          <w:rtl/>
        </w:rPr>
        <w:t xml:space="preserve">(1) </w:t>
      </w:r>
      <w:r w:rsidRPr="00CD6899">
        <w:rPr>
          <w:rFonts w:ascii="Simplified Arabic" w:eastAsia="Times New Roman" w:hAnsi="Simplified Arabic" w:cs="Simplified Arabic"/>
          <w:b/>
          <w:bCs/>
          <w:sz w:val="28"/>
          <w:szCs w:val="24"/>
          <w:rtl/>
        </w:rPr>
        <w:t xml:space="preserve">   </w:t>
      </w:r>
      <w:r w:rsidRPr="00CD6899">
        <w:rPr>
          <w:rFonts w:ascii="Simplified Arabic" w:eastAsia="Times New Roman" w:hAnsi="Simplified Arabic" w:cs="Simplified Arabic"/>
          <w:b/>
          <w:bCs/>
          <w:sz w:val="28"/>
          <w:szCs w:val="28"/>
          <w:rtl/>
        </w:rPr>
        <w:t xml:space="preserve">عمل </w:t>
      </w:r>
    </w:p>
    <w:p w:rsidR="00CD6899" w:rsidRPr="00CD6899" w:rsidRDefault="00CD6899" w:rsidP="00CD6899">
      <w:pPr>
        <w:spacing w:after="0" w:line="240" w:lineRule="auto"/>
        <w:jc w:val="lowKashida"/>
        <w:rPr>
          <w:rFonts w:ascii="Simplified Arabic" w:eastAsia="Times New Roman" w:hAnsi="Simplified Arabic" w:cs="Simplified Arabic"/>
          <w:sz w:val="28"/>
          <w:szCs w:val="28"/>
        </w:rPr>
      </w:pPr>
      <w:r w:rsidRPr="00CD6899">
        <w:rPr>
          <w:rFonts w:ascii="Times New Roman" w:eastAsia="Times New Roman" w:hAnsi="Times New Roman" w:cs="Simplified Arabic"/>
          <w:sz w:val="28"/>
          <w:szCs w:val="28"/>
        </w:rPr>
        <w:t>-</w:t>
      </w:r>
      <w:r w:rsidRPr="00CD6899">
        <w:rPr>
          <w:rFonts w:ascii="Simplified Arabic" w:eastAsia="Times New Roman" w:hAnsi="Simplified Arabic" w:cs="Simplified Arabic"/>
          <w:sz w:val="28"/>
          <w:szCs w:val="28"/>
          <w:rtl/>
        </w:rPr>
        <w:t xml:space="preserve"> ترقية العامل للفئة السادسة وما فوقها أساسها الاختيار بحسب الكفاءة الأفضلية للأقدم عند التساوى فى الكفاءة اللائحة 3309 لسنة 1966 بشأن العاملين بالقطاع العام</w:t>
      </w:r>
    </w:p>
    <w:p w:rsidR="00CD6899" w:rsidRPr="00CD6899" w:rsidRDefault="00CD6899" w:rsidP="00CD6899">
      <w:pPr>
        <w:spacing w:after="0" w:line="240" w:lineRule="auto"/>
        <w:jc w:val="lowKashida"/>
        <w:rPr>
          <w:rFonts w:ascii="Times New Roman" w:eastAsia="Times New Roman" w:hAnsi="Times New Roman" w:cs="Simplified Arabic"/>
          <w:b/>
          <w:bCs/>
          <w:sz w:val="28"/>
          <w:szCs w:val="24"/>
          <w:rtl/>
        </w:rPr>
      </w:pPr>
    </w:p>
    <w:p w:rsidR="00CD6899" w:rsidRPr="00CD6899" w:rsidRDefault="00CD6899" w:rsidP="00CD6899">
      <w:pPr>
        <w:spacing w:after="0" w:line="240" w:lineRule="auto"/>
        <w:jc w:val="center"/>
        <w:rPr>
          <w:rFonts w:ascii="Times New Roman" w:eastAsia="Times New Roman" w:hAnsi="Times New Roman" w:cs="PT Bold Heading"/>
          <w:b/>
          <w:bCs/>
          <w:color w:val="008000"/>
          <w:sz w:val="32"/>
          <w:szCs w:val="32"/>
          <w:lang w:eastAsia="ar-SA"/>
        </w:rPr>
      </w:pPr>
      <w:r w:rsidRPr="00CD6899">
        <w:rPr>
          <w:rFonts w:ascii="Times New Roman" w:eastAsia="Times New Roman" w:hAnsi="Times New Roman" w:cs="PT Bold Heading" w:hint="cs"/>
          <w:b/>
          <w:bCs/>
          <w:color w:val="008000"/>
          <w:sz w:val="32"/>
          <w:szCs w:val="32"/>
          <w:rtl/>
          <w:lang w:eastAsia="ar-SA"/>
        </w:rPr>
        <w:t>القاعدة</w:t>
      </w:r>
    </w:p>
    <w:p w:rsidR="00CD6899" w:rsidRPr="00CD6899" w:rsidRDefault="00CD6899" w:rsidP="00CD6899">
      <w:pPr>
        <w:spacing w:after="0" w:line="240" w:lineRule="auto"/>
        <w:jc w:val="lowKashida"/>
        <w:rPr>
          <w:rFonts w:ascii="Times New Roman" w:eastAsia="Times New Roman" w:hAnsi="Times New Roman" w:cs="Simplified Arabic" w:hint="cs"/>
          <w:sz w:val="28"/>
          <w:szCs w:val="28"/>
          <w:rtl/>
        </w:rPr>
      </w:pPr>
      <w:r w:rsidRPr="00CD6899">
        <w:rPr>
          <w:rFonts w:ascii="Simplified Arabic" w:eastAsia="Times New Roman" w:hAnsi="Simplified Arabic" w:cs="Simplified Arabic"/>
          <w:sz w:val="28"/>
          <w:szCs w:val="28"/>
          <w:rtl/>
        </w:rPr>
        <w:t>1- تنص الفقرة الخامسة من المادة الثانية من القرار الجمهورى رقم 3309 لسنة 1966 على أنه " تعتبر الأقدمية فى الفئة من تاريخ التعيين فيها فإذا إشتمل قرار التعيين على أكثر من عامل فى فئة واحدة إعتبرت الأقدمية كما يلى .. إذا كان التعيين متضمناً ترقية أعتبرت الأقدمية على أساس الأقدمية فى الفئة السابعة " و تنص المادة العاشرة من هذا القرار على أن تكون الترقية فى وظائف الفئات من السادسة و ما يعلوها بالإختيار على أساس الكفاية ، على أن تأخذ التقارير الدورية فى الإعتبار ، فإذا تساوت مرتبة الكفاية يرقى الأقدم فى الفئة المرقى منها ... " و مفاد ذلك أن الترقية إلى الفئة السادسة و ما فوقها تكون بالإختبار على أساس الكفاءة ، و توخذ التقارير الدورية فى الإعتبار ، فتكون الأفضلية للأقدم فى الفئة المرقى منها ، و إذ كان الحكم المطعون فيه قد إلتزم هذا النظر ، و قضى بأحقيه المطعون ضده للفئة المالية الثالثة تأسيساً على ما هو ثابت من تساوى الكفاية بينه و بين زملائه المقارن بهم بإعتباره الأقدم فى الفئة المرقى منها و ذلك أخذاً بحكم المادة 10 من القرار الجمهورى رقم 3309 لسنة 1966 فإنه لا يكون قد خالف القانون .</w:t>
      </w:r>
    </w:p>
    <w:p w:rsidR="00CD6899" w:rsidRPr="00CD6899" w:rsidRDefault="00CD6899" w:rsidP="00CD6899">
      <w:pPr>
        <w:spacing w:after="0" w:line="240" w:lineRule="auto"/>
        <w:jc w:val="lowKashida"/>
        <w:rPr>
          <w:rFonts w:ascii="Times New Roman" w:eastAsia="Times New Roman" w:hAnsi="Times New Roman" w:cs="Simplified Arabic"/>
          <w:sz w:val="28"/>
          <w:szCs w:val="28"/>
        </w:rPr>
      </w:pPr>
    </w:p>
    <w:p w:rsidR="00CD6899" w:rsidRPr="00CD6899" w:rsidRDefault="00CD6899" w:rsidP="00CD6899">
      <w:pPr>
        <w:spacing w:after="0" w:line="240" w:lineRule="auto"/>
        <w:jc w:val="center"/>
        <w:rPr>
          <w:rFonts w:ascii="Times New Roman" w:eastAsia="Times New Roman" w:hAnsi="Times New Roman" w:cs="Simplified Arabic"/>
          <w:sz w:val="24"/>
          <w:szCs w:val="24"/>
        </w:rPr>
      </w:pPr>
      <w:r w:rsidRPr="00CD6899">
        <w:rPr>
          <w:rFonts w:ascii="Simplified Arabic" w:eastAsia="Times New Roman" w:hAnsi="Simplified Arabic" w:cs="Simplified Arabic"/>
          <w:sz w:val="24"/>
          <w:szCs w:val="24"/>
          <w:rtl/>
        </w:rPr>
        <w:t>" سنة المكتب الفنى "  30 " رقم الصفحة - 509  -  قاعدة رقم –   -  "</w:t>
      </w:r>
    </w:p>
    <w:p w:rsidR="00CD6899" w:rsidRPr="00CD6899" w:rsidRDefault="00CD6899" w:rsidP="00CD6899">
      <w:pPr>
        <w:spacing w:after="0" w:line="240" w:lineRule="auto"/>
        <w:rPr>
          <w:rFonts w:ascii="Times New Roman" w:eastAsia="Times New Roman" w:hAnsi="Times New Roman" w:cs="Times New Roman"/>
          <w:sz w:val="24"/>
          <w:szCs w:val="24"/>
        </w:rPr>
      </w:pPr>
    </w:p>
    <w:p w:rsidR="006173AA" w:rsidRPr="00CD6899" w:rsidRDefault="006173AA">
      <w:bookmarkStart w:id="0" w:name="_GoBack"/>
      <w:bookmarkEnd w:id="0"/>
    </w:p>
    <w:sectPr w:rsidR="006173AA" w:rsidRPr="00CD689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432"/>
    <w:rsid w:val="0003272B"/>
    <w:rsid w:val="006173AA"/>
    <w:rsid w:val="00CD6899"/>
    <w:rsid w:val="00EF4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2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2020-06-08T09:46:00Z</dcterms:created>
  <dcterms:modified xsi:type="dcterms:W3CDTF">2020-06-08T09:46:00Z</dcterms:modified>
</cp:coreProperties>
</file>