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49" w:rsidRPr="00956C49" w:rsidRDefault="00956C49" w:rsidP="00956C49">
      <w:pPr>
        <w:spacing w:after="0" w:line="240" w:lineRule="auto"/>
        <w:jc w:val="center"/>
        <w:rPr>
          <w:rFonts w:ascii="Times New Roman" w:eastAsia="Times New Roman" w:hAnsi="Times New Roman" w:cs="PT Bold Heading"/>
          <w:b/>
          <w:bCs/>
          <w:color w:val="008000"/>
          <w:sz w:val="32"/>
          <w:szCs w:val="32"/>
          <w:lang w:eastAsia="ar-SA"/>
        </w:rPr>
      </w:pPr>
      <w:r w:rsidRPr="00956C49">
        <w:rPr>
          <w:rFonts w:ascii="Times New Roman" w:eastAsia="Times New Roman" w:hAnsi="Times New Roman" w:cs="PT Bold Heading" w:hint="cs"/>
          <w:b/>
          <w:bCs/>
          <w:color w:val="008000"/>
          <w:sz w:val="32"/>
          <w:szCs w:val="32"/>
          <w:rtl/>
          <w:lang w:eastAsia="ar-SA"/>
        </w:rPr>
        <w:t>الطعن رقم 546 لسنة 41 ق ، جلسة 15-5-1979</w:t>
      </w:r>
    </w:p>
    <w:p w:rsidR="00956C49" w:rsidRPr="00956C49" w:rsidRDefault="00956C49" w:rsidP="00956C49">
      <w:pPr>
        <w:spacing w:after="0" w:line="240" w:lineRule="auto"/>
        <w:jc w:val="center"/>
        <w:rPr>
          <w:rFonts w:ascii="Times New Roman" w:eastAsia="Times New Roman" w:hAnsi="Times New Roman" w:cs="PT Bold Heading"/>
          <w:b/>
          <w:bCs/>
          <w:color w:val="008000"/>
          <w:sz w:val="32"/>
          <w:szCs w:val="32"/>
          <w:lang w:eastAsia="ar-SA"/>
        </w:rPr>
      </w:pPr>
      <w:r w:rsidRPr="00956C49">
        <w:rPr>
          <w:rFonts w:ascii="Times New Roman" w:eastAsia="Times New Roman" w:hAnsi="Times New Roman" w:cs="PT Bold Heading" w:hint="cs"/>
          <w:b/>
          <w:bCs/>
          <w:color w:val="008000"/>
          <w:sz w:val="32"/>
          <w:szCs w:val="32"/>
          <w:rtl/>
          <w:lang w:eastAsia="ar-SA"/>
        </w:rPr>
        <w:t>الموضوع ،  و  الموجز :</w:t>
      </w:r>
    </w:p>
    <w:p w:rsidR="00956C49" w:rsidRPr="00956C49" w:rsidRDefault="00956C49" w:rsidP="00956C49">
      <w:pPr>
        <w:spacing w:after="0" w:line="240" w:lineRule="auto"/>
        <w:jc w:val="lowKashida"/>
        <w:rPr>
          <w:rFonts w:ascii="Times New Roman" w:eastAsia="Times New Roman" w:hAnsi="Times New Roman" w:cs="Simplified Arabic"/>
          <w:b/>
          <w:bCs/>
          <w:sz w:val="32"/>
          <w:szCs w:val="32"/>
        </w:rPr>
      </w:pPr>
    </w:p>
    <w:p w:rsidR="00956C49" w:rsidRPr="00956C49" w:rsidRDefault="00956C49" w:rsidP="00956C49">
      <w:pPr>
        <w:spacing w:after="0" w:line="240" w:lineRule="auto"/>
        <w:jc w:val="lowKashida"/>
        <w:rPr>
          <w:rFonts w:ascii="Times New Roman" w:eastAsia="Times New Roman" w:hAnsi="Times New Roman" w:cs="Simplified Arabic"/>
          <w:b/>
          <w:bCs/>
          <w:sz w:val="28"/>
          <w:szCs w:val="28"/>
        </w:rPr>
      </w:pPr>
      <w:r w:rsidRPr="00956C49">
        <w:rPr>
          <w:rFonts w:ascii="Simplified Arabic" w:eastAsia="Times New Roman" w:hAnsi="Simplified Arabic" w:cs="Simplified Arabic"/>
          <w:b/>
          <w:bCs/>
          <w:sz w:val="32"/>
          <w:szCs w:val="32"/>
          <w:rtl/>
        </w:rPr>
        <w:t xml:space="preserve">(1) </w:t>
      </w:r>
      <w:r w:rsidRPr="00956C49">
        <w:rPr>
          <w:rFonts w:ascii="Simplified Arabic" w:eastAsia="Times New Roman" w:hAnsi="Simplified Arabic" w:cs="Simplified Arabic"/>
          <w:b/>
          <w:bCs/>
          <w:sz w:val="28"/>
          <w:szCs w:val="24"/>
          <w:rtl/>
        </w:rPr>
        <w:t xml:space="preserve">   </w:t>
      </w:r>
      <w:r w:rsidRPr="00956C49">
        <w:rPr>
          <w:rFonts w:ascii="Simplified Arabic" w:eastAsia="Times New Roman" w:hAnsi="Simplified Arabic" w:cs="Simplified Arabic"/>
          <w:b/>
          <w:bCs/>
          <w:sz w:val="28"/>
          <w:szCs w:val="28"/>
          <w:rtl/>
        </w:rPr>
        <w:t xml:space="preserve"> عمل </w:t>
      </w:r>
    </w:p>
    <w:p w:rsidR="00956C49" w:rsidRPr="00956C49" w:rsidRDefault="00956C49" w:rsidP="00956C49">
      <w:pPr>
        <w:spacing w:after="0" w:line="240" w:lineRule="auto"/>
        <w:jc w:val="lowKashida"/>
        <w:rPr>
          <w:rFonts w:ascii="Times New Roman" w:eastAsia="Times New Roman" w:hAnsi="Times New Roman" w:cs="Simplified Arabic"/>
          <w:sz w:val="28"/>
          <w:szCs w:val="28"/>
        </w:rPr>
      </w:pPr>
      <w:r w:rsidRPr="00956C49">
        <w:rPr>
          <w:rFonts w:ascii="Times New Roman" w:eastAsia="Times New Roman" w:hAnsi="Times New Roman" w:cs="Simplified Arabic"/>
          <w:sz w:val="28"/>
          <w:szCs w:val="28"/>
        </w:rPr>
        <w:t>-</w:t>
      </w:r>
      <w:r w:rsidRPr="00956C49">
        <w:rPr>
          <w:rFonts w:ascii="Simplified Arabic" w:eastAsia="Times New Roman" w:hAnsi="Simplified Arabic" w:cs="Simplified Arabic"/>
          <w:sz w:val="28"/>
          <w:szCs w:val="28"/>
          <w:rtl/>
        </w:rPr>
        <w:t xml:space="preserve"> العاملون بالقطعة أو بالإنتاج أو بالعمولة بشركات القطاع العام استحقاقهم للعلاوات الدورية متى قررت الشركة منحها وتوافرت فيهم شروط استحقاقهم اللائحة 3546 لسنة 1962 واللائحة 3309 لسنة 1966 قبل تعديلها بالقرار الجمهورى رقم 802 لسنة 1967.</w:t>
      </w:r>
    </w:p>
    <w:p w:rsidR="00956C49" w:rsidRPr="00956C49" w:rsidRDefault="00956C49" w:rsidP="00956C49">
      <w:pPr>
        <w:spacing w:after="0" w:line="240" w:lineRule="auto"/>
        <w:jc w:val="lowKashida"/>
        <w:rPr>
          <w:rFonts w:ascii="Simplified Arabic" w:eastAsia="Times New Roman" w:hAnsi="Simplified Arabic" w:cs="Simplified Arabic"/>
          <w:b/>
          <w:bCs/>
          <w:sz w:val="28"/>
          <w:szCs w:val="24"/>
        </w:rPr>
      </w:pPr>
    </w:p>
    <w:p w:rsidR="00956C49" w:rsidRPr="00956C49" w:rsidRDefault="00956C49" w:rsidP="00956C49">
      <w:pPr>
        <w:spacing w:after="0" w:line="240" w:lineRule="auto"/>
        <w:jc w:val="lowKashida"/>
        <w:rPr>
          <w:rFonts w:ascii="Times New Roman" w:eastAsia="Times New Roman" w:hAnsi="Times New Roman" w:cs="Simplified Arabic"/>
          <w:b/>
          <w:bCs/>
          <w:sz w:val="28"/>
          <w:szCs w:val="24"/>
          <w:rtl/>
        </w:rPr>
      </w:pPr>
    </w:p>
    <w:p w:rsidR="00956C49" w:rsidRPr="00956C49" w:rsidRDefault="00956C49" w:rsidP="00956C49">
      <w:pPr>
        <w:spacing w:after="0" w:line="240" w:lineRule="auto"/>
        <w:jc w:val="center"/>
        <w:rPr>
          <w:rFonts w:ascii="Times New Roman" w:eastAsia="Times New Roman" w:hAnsi="Times New Roman" w:cs="PT Bold Heading"/>
          <w:b/>
          <w:bCs/>
          <w:color w:val="008000"/>
          <w:sz w:val="32"/>
          <w:szCs w:val="32"/>
          <w:lang w:eastAsia="ar-SA"/>
        </w:rPr>
      </w:pPr>
      <w:r w:rsidRPr="00956C49">
        <w:rPr>
          <w:rFonts w:ascii="Times New Roman" w:eastAsia="Times New Roman" w:hAnsi="Times New Roman" w:cs="PT Bold Heading" w:hint="cs"/>
          <w:b/>
          <w:bCs/>
          <w:color w:val="008000"/>
          <w:sz w:val="32"/>
          <w:szCs w:val="32"/>
          <w:rtl/>
          <w:lang w:eastAsia="ar-SA"/>
        </w:rPr>
        <w:t>القاعدة</w:t>
      </w:r>
    </w:p>
    <w:p w:rsidR="00956C49" w:rsidRPr="00956C49" w:rsidRDefault="00956C49" w:rsidP="00956C49">
      <w:pPr>
        <w:spacing w:after="0" w:line="240" w:lineRule="auto"/>
        <w:jc w:val="lowKashida"/>
        <w:rPr>
          <w:rFonts w:ascii="Simplified Arabic" w:eastAsia="Times New Roman" w:hAnsi="Simplified Arabic" w:cs="Simplified Arabic" w:hint="cs"/>
          <w:sz w:val="28"/>
          <w:szCs w:val="28"/>
          <w:rtl/>
        </w:rPr>
      </w:pPr>
    </w:p>
    <w:p w:rsidR="00956C49" w:rsidRPr="00956C49" w:rsidRDefault="00956C49" w:rsidP="00956C49">
      <w:pPr>
        <w:spacing w:after="0" w:line="240" w:lineRule="auto"/>
        <w:jc w:val="lowKashida"/>
        <w:rPr>
          <w:rFonts w:ascii="Times New Roman" w:eastAsia="Times New Roman" w:hAnsi="Times New Roman" w:cs="Simplified Arabic"/>
          <w:sz w:val="28"/>
          <w:szCs w:val="28"/>
          <w:rtl/>
        </w:rPr>
      </w:pPr>
      <w:r w:rsidRPr="00956C49">
        <w:rPr>
          <w:rFonts w:ascii="Simplified Arabic" w:eastAsia="Times New Roman" w:hAnsi="Simplified Arabic" w:cs="Simplified Arabic"/>
          <w:sz w:val="28"/>
          <w:szCs w:val="28"/>
          <w:rtl/>
        </w:rPr>
        <w:t>1- النص فى المادة 24 من لائحة نظام العاملين بالشركات التابعة للمؤسسات العامة الصادر بها قرار رئيس الجمهورية  رقم 3546 لسنة 1962 و الواردة فى فى الباب الخامس الخاص بالترقيات و العلاوات على أن " يقرر مجلس إداره الشركة فى ختام كل سنة مالية مبدأ منح العلاوة أو عدم منحها بالنسبه لجميع العاملين فى الشركة ...... " و فى المادة 25 على أن " يشترط فى الترقية  أو منح العلاوة أن يكون العامل حاصلاً على تقدير مقبول على الأقل فى متوسط التقارير الدورية لآخر سنة و أن يكون قد مضى على تعيينه فى خدمة الشركة سنة كاملة ... " و فى المادة 315 من نظام العاملين بالقطاع العام الصادر به قرار رئيس الجمهورية رقم 2309 لسنة 1966 على أن " يقرر مجلس إدارة فى ختام كل سنة مالية مبدأ منح العلاوة أو عدم منحها بالنسبة للعاملين ... " يدل على أن العاملين كافة يستحقون العلاوات الدورية كلما قدرت الشركة مبدأ منحها و توافرت فيهم شروط إستحقاقها و إلى أن يضع مجلس إدارتها نظاماً للعمل بالقطعة أو بالإنتاج أو بالعمولة تنفيذاً  للفقرة الثالثة من المادة 39 من نظام العاملين بالقطاع العام المضافة بالقرار الجمهورى رقم 802 لسنة 1967 و التى تمنع الجمع بين هذا النظام و نظام العلاوات ، ذلك أن النص فى كل نظامى العاملين سالفى الذكر - قبل صدور القرار الجمهورى رقم 802 لسنة 1967 - على إستحقاق العاملين للعلاوات الدورية قد ورد بصفة عامة مطلقة و لم يستئن الشارع من حكمه العاملين بالقطعة أو بإلانتاج أو بالعمولة .</w:t>
      </w:r>
    </w:p>
    <w:p w:rsidR="00956C49" w:rsidRPr="00956C49" w:rsidRDefault="00956C49" w:rsidP="00956C49">
      <w:pPr>
        <w:spacing w:after="0" w:line="240" w:lineRule="auto"/>
        <w:jc w:val="lowKashida"/>
        <w:rPr>
          <w:rFonts w:ascii="Times New Roman" w:eastAsia="Times New Roman" w:hAnsi="Times New Roman" w:cs="Simplified Arabic"/>
          <w:sz w:val="28"/>
          <w:szCs w:val="28"/>
        </w:rPr>
      </w:pPr>
    </w:p>
    <w:p w:rsidR="00956C49" w:rsidRPr="00956C49" w:rsidRDefault="00956C49" w:rsidP="00956C49">
      <w:pPr>
        <w:spacing w:after="0" w:line="240" w:lineRule="auto"/>
        <w:jc w:val="center"/>
        <w:rPr>
          <w:rFonts w:ascii="Times New Roman" w:eastAsia="Times New Roman" w:hAnsi="Times New Roman" w:cs="Simplified Arabic"/>
          <w:sz w:val="24"/>
          <w:szCs w:val="24"/>
        </w:rPr>
      </w:pPr>
      <w:r w:rsidRPr="00956C49">
        <w:rPr>
          <w:rFonts w:ascii="Simplified Arabic" w:eastAsia="Times New Roman" w:hAnsi="Simplified Arabic" w:cs="Simplified Arabic"/>
          <w:sz w:val="24"/>
          <w:szCs w:val="24"/>
          <w:rtl/>
        </w:rPr>
        <w:t>" سنة المكتب الفنى "  30 " رقم الصفحة -   -  قاعدة رقم –   -  "</w:t>
      </w:r>
    </w:p>
    <w:p w:rsidR="00956C49" w:rsidRPr="00956C49" w:rsidRDefault="00956C49" w:rsidP="00956C49">
      <w:pPr>
        <w:spacing w:after="0" w:line="240" w:lineRule="auto"/>
        <w:rPr>
          <w:rFonts w:ascii="Times New Roman" w:eastAsia="Times New Roman" w:hAnsi="Times New Roman" w:cs="Times New Roman"/>
          <w:sz w:val="24"/>
          <w:szCs w:val="24"/>
        </w:rPr>
      </w:pPr>
    </w:p>
    <w:p w:rsidR="006173AA" w:rsidRPr="00956C49" w:rsidRDefault="006173AA">
      <w:bookmarkStart w:id="0" w:name="_GoBack"/>
      <w:bookmarkEnd w:id="0"/>
    </w:p>
    <w:sectPr w:rsidR="006173AA" w:rsidRPr="00956C4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544"/>
    <w:rsid w:val="0003272B"/>
    <w:rsid w:val="006173AA"/>
    <w:rsid w:val="008E4544"/>
    <w:rsid w:val="00956C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81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2020-06-08T09:35:00Z</dcterms:created>
  <dcterms:modified xsi:type="dcterms:W3CDTF">2020-06-08T09:35:00Z</dcterms:modified>
</cp:coreProperties>
</file>