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238" w:rsidRPr="00852238" w:rsidRDefault="00852238" w:rsidP="00852238">
      <w:pPr>
        <w:spacing w:after="0" w:line="240" w:lineRule="auto"/>
        <w:jc w:val="center"/>
        <w:rPr>
          <w:rFonts w:ascii="Times New Roman" w:eastAsia="Times New Roman" w:hAnsi="Times New Roman" w:cs="PT Bold Heading"/>
          <w:b/>
          <w:bCs/>
          <w:color w:val="008000"/>
          <w:sz w:val="32"/>
          <w:szCs w:val="32"/>
          <w:lang w:eastAsia="ar-SA"/>
        </w:rPr>
      </w:pPr>
      <w:r w:rsidRPr="00852238">
        <w:rPr>
          <w:rFonts w:ascii="Times New Roman" w:eastAsia="Times New Roman" w:hAnsi="Times New Roman" w:cs="PT Bold Heading" w:hint="cs"/>
          <w:b/>
          <w:bCs/>
          <w:color w:val="008000"/>
          <w:sz w:val="32"/>
          <w:szCs w:val="32"/>
          <w:rtl/>
          <w:lang w:eastAsia="ar-SA"/>
        </w:rPr>
        <w:t xml:space="preserve">الطعن رقم 497 لسنة 45 ق </w:t>
      </w:r>
      <w:r w:rsidRPr="00852238">
        <w:rPr>
          <w:rFonts w:ascii="Times New Roman" w:eastAsia="Times New Roman" w:hAnsi="Times New Roman" w:cs="Times New Roman" w:hint="cs"/>
          <w:b/>
          <w:bCs/>
          <w:color w:val="008000"/>
          <w:sz w:val="32"/>
          <w:szCs w:val="32"/>
          <w:rtl/>
          <w:lang w:eastAsia="ar-SA"/>
        </w:rPr>
        <w:t>-</w:t>
      </w:r>
      <w:r w:rsidRPr="00852238">
        <w:rPr>
          <w:rFonts w:ascii="Times New Roman" w:eastAsia="Times New Roman" w:hAnsi="Times New Roman" w:cs="PT Bold Heading" w:hint="cs"/>
          <w:b/>
          <w:bCs/>
          <w:color w:val="008000"/>
          <w:sz w:val="32"/>
          <w:szCs w:val="32"/>
          <w:rtl/>
          <w:lang w:eastAsia="ar-SA"/>
        </w:rPr>
        <w:t xml:space="preserve"> جلسة 10-12-1979</w:t>
      </w:r>
    </w:p>
    <w:p w:rsidR="00852238" w:rsidRPr="00852238" w:rsidRDefault="00852238" w:rsidP="00852238">
      <w:pPr>
        <w:spacing w:after="0" w:line="240" w:lineRule="auto"/>
        <w:jc w:val="center"/>
        <w:rPr>
          <w:rFonts w:ascii="Times New Roman" w:eastAsia="Times New Roman" w:hAnsi="Times New Roman" w:cs="PT Bold Heading"/>
          <w:b/>
          <w:bCs/>
          <w:color w:val="008000"/>
          <w:sz w:val="32"/>
          <w:szCs w:val="32"/>
          <w:lang w:eastAsia="ar-SA"/>
        </w:rPr>
      </w:pPr>
      <w:r w:rsidRPr="00852238">
        <w:rPr>
          <w:rFonts w:ascii="Times New Roman" w:eastAsia="Times New Roman" w:hAnsi="Times New Roman" w:cs="PT Bold Heading" w:hint="cs"/>
          <w:b/>
          <w:bCs/>
          <w:color w:val="008000"/>
          <w:sz w:val="32"/>
          <w:szCs w:val="32"/>
          <w:rtl/>
          <w:lang w:eastAsia="ar-SA"/>
        </w:rPr>
        <w:t>الموضوع ،  و  الموجز :</w:t>
      </w:r>
    </w:p>
    <w:p w:rsidR="00852238" w:rsidRPr="00852238" w:rsidRDefault="00852238" w:rsidP="00852238">
      <w:pPr>
        <w:spacing w:after="0" w:line="240" w:lineRule="auto"/>
        <w:jc w:val="lowKashida"/>
        <w:rPr>
          <w:rFonts w:ascii="Times New Roman" w:eastAsia="Times New Roman" w:hAnsi="Times New Roman" w:cs="Simplified Arabic"/>
          <w:b/>
          <w:bCs/>
          <w:sz w:val="32"/>
          <w:szCs w:val="32"/>
        </w:rPr>
      </w:pPr>
    </w:p>
    <w:p w:rsidR="00852238" w:rsidRPr="00852238" w:rsidRDefault="00852238" w:rsidP="00852238">
      <w:pPr>
        <w:spacing w:after="0" w:line="240" w:lineRule="auto"/>
        <w:jc w:val="lowKashida"/>
        <w:rPr>
          <w:rFonts w:ascii="Times New Roman" w:eastAsia="Times New Roman" w:hAnsi="Times New Roman" w:cs="Simplified Arabic"/>
          <w:b/>
          <w:bCs/>
          <w:sz w:val="28"/>
          <w:szCs w:val="24"/>
        </w:rPr>
      </w:pPr>
      <w:r w:rsidRPr="00852238">
        <w:rPr>
          <w:rFonts w:ascii="Simplified Arabic" w:eastAsia="Times New Roman" w:hAnsi="Simplified Arabic" w:cs="Simplified Arabic"/>
          <w:b/>
          <w:bCs/>
          <w:sz w:val="32"/>
          <w:szCs w:val="32"/>
          <w:rtl/>
        </w:rPr>
        <w:t>إثبات – إلتزام - عقد</w:t>
      </w:r>
    </w:p>
    <w:p w:rsidR="00852238" w:rsidRPr="00852238" w:rsidRDefault="00852238" w:rsidP="00852238">
      <w:pPr>
        <w:spacing w:after="0" w:line="240" w:lineRule="auto"/>
        <w:jc w:val="lowKashida"/>
        <w:rPr>
          <w:rFonts w:ascii="Simplified Arabic" w:eastAsia="Times New Roman" w:hAnsi="Simplified Arabic" w:cs="Simplified Arabic"/>
          <w:b/>
          <w:bCs/>
          <w:sz w:val="28"/>
          <w:szCs w:val="24"/>
        </w:rPr>
      </w:pPr>
    </w:p>
    <w:p w:rsidR="00852238" w:rsidRPr="00852238" w:rsidRDefault="00852238" w:rsidP="00852238">
      <w:pPr>
        <w:spacing w:after="0" w:line="240" w:lineRule="auto"/>
        <w:jc w:val="center"/>
        <w:rPr>
          <w:rFonts w:ascii="Times New Roman" w:eastAsia="Times New Roman" w:hAnsi="Times New Roman" w:cs="PT Bold Heading"/>
          <w:b/>
          <w:bCs/>
          <w:color w:val="008000"/>
          <w:sz w:val="32"/>
          <w:szCs w:val="32"/>
          <w:rtl/>
          <w:lang w:eastAsia="ar-SA"/>
        </w:rPr>
      </w:pPr>
      <w:r w:rsidRPr="00852238">
        <w:rPr>
          <w:rFonts w:ascii="Times New Roman" w:eastAsia="Times New Roman" w:hAnsi="Times New Roman" w:cs="PT Bold Heading" w:hint="cs"/>
          <w:b/>
          <w:bCs/>
          <w:color w:val="008000"/>
          <w:sz w:val="32"/>
          <w:szCs w:val="32"/>
          <w:rtl/>
          <w:lang w:eastAsia="ar-SA"/>
        </w:rPr>
        <w:t>القاعدة</w:t>
      </w:r>
    </w:p>
    <w:p w:rsidR="00852238" w:rsidRPr="00852238" w:rsidRDefault="00852238" w:rsidP="00852238">
      <w:pPr>
        <w:spacing w:after="0" w:line="240" w:lineRule="auto"/>
        <w:jc w:val="lowKashida"/>
        <w:rPr>
          <w:rFonts w:ascii="Times New Roman" w:eastAsia="Times New Roman" w:hAnsi="Times New Roman" w:cs="Simplified Arabic" w:hint="cs"/>
          <w:sz w:val="28"/>
          <w:szCs w:val="28"/>
          <w:rtl/>
        </w:rPr>
      </w:pPr>
      <w:r w:rsidRPr="00852238">
        <w:rPr>
          <w:rFonts w:ascii="Simplified Arabic" w:eastAsia="Times New Roman" w:hAnsi="Simplified Arabic" w:cs="Simplified Arabic"/>
          <w:sz w:val="28"/>
          <w:szCs w:val="28"/>
          <w:rtl/>
        </w:rPr>
        <w:t xml:space="preserve">1- من المقرر فى قضاء هذه المحكمة أن تكييف العقود و إنزال حكم القانون عليها يخضع لرقابة محكمة النقض ، و أنه و إن كان لمحكمة الموضوع إستخلاص نية المتعاقدين و ما إنعقد إتفاقهما عليه ، إلا أن ذلك مشروط بأن يكون هذا الإستخلاص سائغاً و لا يخالف الثابت بالأوراق و لا خروج فيه على المعنى الظاهر للعقد . </w:t>
      </w:r>
    </w:p>
    <w:p w:rsidR="00852238" w:rsidRPr="00852238" w:rsidRDefault="00852238" w:rsidP="00852238">
      <w:pPr>
        <w:spacing w:after="0" w:line="240" w:lineRule="auto"/>
        <w:jc w:val="lowKashida"/>
        <w:rPr>
          <w:rFonts w:ascii="Times New Roman" w:eastAsia="Times New Roman" w:hAnsi="Times New Roman" w:cs="Simplified Arabic"/>
          <w:sz w:val="28"/>
          <w:szCs w:val="28"/>
        </w:rPr>
      </w:pPr>
      <w:r w:rsidRPr="00852238">
        <w:rPr>
          <w:rFonts w:ascii="Simplified Arabic" w:eastAsia="Times New Roman" w:hAnsi="Simplified Arabic" w:cs="Simplified Arabic"/>
          <w:sz w:val="28"/>
          <w:szCs w:val="28"/>
          <w:rtl/>
        </w:rPr>
        <w:t xml:space="preserve"> </w:t>
      </w:r>
    </w:p>
    <w:p w:rsidR="00852238" w:rsidRPr="00852238" w:rsidRDefault="00852238" w:rsidP="00852238">
      <w:pPr>
        <w:spacing w:after="0" w:line="240" w:lineRule="auto"/>
        <w:jc w:val="lowKashida"/>
        <w:rPr>
          <w:rFonts w:ascii="Times New Roman" w:eastAsia="Times New Roman" w:hAnsi="Times New Roman" w:cs="Simplified Arabic"/>
          <w:sz w:val="28"/>
          <w:szCs w:val="28"/>
        </w:rPr>
      </w:pPr>
      <w:r w:rsidRPr="00852238">
        <w:rPr>
          <w:rFonts w:ascii="Simplified Arabic" w:eastAsia="Times New Roman" w:hAnsi="Simplified Arabic" w:cs="Simplified Arabic"/>
          <w:sz w:val="28"/>
          <w:szCs w:val="28"/>
          <w:rtl/>
        </w:rPr>
        <w:t xml:space="preserve">2- عرفت المادة 646 من القانون المدنى المقاولة بأنها عقد يتعهد بمقتضاه أحد المتعاقدين أن يصنع شيئاً أو أن يؤدى عملاً لقاء أجر يتعهد به المتعاقد الآخر . و كان البين من مدونات الحكم المطعون فيه ، و من سائر أوراق الطعن أن المطعون ضده تعاقد مع الشركة الطاعنة على القيام بأعمال النجارة الخاصة بالتوسع فى مبنى إدارة الشركة بطنطا لقاء مبلغ ... ... و أن الطاعنة إستصدرت ترخيصاً بإسمها لشراء الأخشاب اللازمة لأعمال النجارة المتعاقد عليها ، و سلمت المطعون ضده شيكاً مسحوباً لصالح الشركة التجارية إستلم بمقتضاه أخشاباً قيمتها ....... و قامت شركة الأخشاب بقيد باقى قيمة الشيك لحساب الشركة الطاعنة ، فإن التكييف القانونى للتعاقد المبرم بين الطرفين أنه عقد مقاولة . و لما كان الثابت أن المطعون ضده لم يقم بتنفيذ الأعمال التى إلتزم بها بموجب عقد المقاولة المشار إليه رغم إستلامه الأخشاب اللازمة لتلك الأعمال ، و أن الطرفين إتفقا على فسخ  العقد ، فإنه يترتب على هذا التفاسخ إعادة المتعاقدين إلى الحالة التى كانا عليها ، و حق للشركة الطاعنة أن تسترد الأخشاب التى تسلمها المطعون ضده بسبب عقد المقاولة  و نفاذاً له ، لما كان ذلك . و كان الحكم المطعون فيه قد خالف هذا النظر الصحيح فى القانون و كيف العلاقة بين الطرفين بأنها عقد قرض أقرضت الشركة الطاعنة بموجبه المطعون ضده ثمن الأخشاب التى نزلت له عن ملكيتها مقابل قيمة الشيك الذى حرره لصالحها بمبلغ ......... رغم عدم وجود رصيد له ، فإن الحكم المطعون فيه يكون قد جانبه التوفيق فى إسباغ التكييف القانونى الصحيح على العقد المبرم بين الطرفين ، و خالف الظاهر للعقد فيما إستخلصه من نية المتعاقدين و ما إنعقد إتفاقهما عليه . </w:t>
      </w:r>
    </w:p>
    <w:p w:rsidR="00852238" w:rsidRPr="00852238" w:rsidRDefault="00852238" w:rsidP="00852238">
      <w:pPr>
        <w:spacing w:after="0" w:line="240" w:lineRule="auto"/>
        <w:jc w:val="lowKashida"/>
        <w:rPr>
          <w:rFonts w:ascii="Times New Roman" w:eastAsia="Times New Roman" w:hAnsi="Times New Roman" w:cs="Simplified Arabic"/>
          <w:sz w:val="28"/>
          <w:szCs w:val="28"/>
        </w:rPr>
      </w:pPr>
    </w:p>
    <w:p w:rsidR="00852238" w:rsidRPr="00852238" w:rsidRDefault="00852238" w:rsidP="00852238">
      <w:pPr>
        <w:spacing w:after="0" w:line="240" w:lineRule="auto"/>
        <w:jc w:val="lowKashida"/>
        <w:rPr>
          <w:rFonts w:ascii="Times New Roman" w:eastAsia="Times New Roman" w:hAnsi="Times New Roman" w:cs="Simplified Arabic"/>
          <w:sz w:val="28"/>
          <w:szCs w:val="28"/>
        </w:rPr>
      </w:pPr>
      <w:r w:rsidRPr="00852238">
        <w:rPr>
          <w:rFonts w:ascii="Simplified Arabic" w:eastAsia="Times New Roman" w:hAnsi="Simplified Arabic" w:cs="Simplified Arabic"/>
          <w:sz w:val="28"/>
          <w:szCs w:val="28"/>
          <w:rtl/>
        </w:rPr>
        <w:lastRenderedPageBreak/>
        <w:t xml:space="preserve">3- تقدير كون الأقوال المنسوبة للخصم تعتبر إقراراً قضائياً أو لا تعتبر كذلك هو من المسائل القانونية التى تدخل تحت رقابة محكمة النقض . و إذ قام دفاع المطعون ضده أمام محكمة الموضوع على أنه حرر الشيك كأداة إئتمان فإن ذلك يعد منه إقراراً قضائياً بأن هذا الشيك لم يحرر ثمناً للأخشاب التى تسلمها فلا يسوغ إهداره . </w:t>
      </w:r>
    </w:p>
    <w:p w:rsidR="00852238" w:rsidRPr="00852238" w:rsidRDefault="00852238" w:rsidP="00852238">
      <w:pPr>
        <w:spacing w:after="0" w:line="240" w:lineRule="auto"/>
        <w:jc w:val="lowKashida"/>
        <w:rPr>
          <w:rFonts w:ascii="Times New Roman" w:eastAsia="Times New Roman" w:hAnsi="Times New Roman" w:cs="Simplified Arabic"/>
          <w:sz w:val="28"/>
          <w:szCs w:val="28"/>
        </w:rPr>
      </w:pPr>
    </w:p>
    <w:p w:rsidR="00852238" w:rsidRPr="00852238" w:rsidRDefault="00852238" w:rsidP="00852238">
      <w:pPr>
        <w:spacing w:after="0" w:line="240" w:lineRule="auto"/>
        <w:jc w:val="lowKashida"/>
        <w:rPr>
          <w:rFonts w:ascii="Times New Roman" w:eastAsia="Times New Roman" w:hAnsi="Times New Roman" w:cs="Simplified Arabic"/>
          <w:sz w:val="28"/>
          <w:szCs w:val="28"/>
        </w:rPr>
      </w:pPr>
      <w:r w:rsidRPr="00852238">
        <w:rPr>
          <w:rFonts w:ascii="Simplified Arabic" w:eastAsia="Times New Roman" w:hAnsi="Simplified Arabic" w:cs="Simplified Arabic"/>
          <w:sz w:val="28"/>
          <w:szCs w:val="28"/>
          <w:rtl/>
        </w:rPr>
        <w:t>4- الشيك و إن إعتبر فى الأصل أداة وفاء إلا أن مجرد سحب الشيك لا يعتبر وفاء مبرئاً لذمة ساحبه و لا ينقضى إلتزامه إلا بقيام المسحوب عليه بصرف قيمة الشيك للمستفيد .</w:t>
      </w:r>
    </w:p>
    <w:p w:rsidR="00852238" w:rsidRPr="00852238" w:rsidRDefault="00852238" w:rsidP="00852238">
      <w:pPr>
        <w:spacing w:after="0" w:line="240" w:lineRule="auto"/>
        <w:jc w:val="lowKashida"/>
        <w:rPr>
          <w:rFonts w:ascii="Times New Roman" w:eastAsia="Times New Roman" w:hAnsi="Times New Roman" w:cs="Simplified Arabic"/>
          <w:sz w:val="28"/>
          <w:szCs w:val="28"/>
        </w:rPr>
      </w:pPr>
    </w:p>
    <w:p w:rsidR="00852238" w:rsidRPr="00852238" w:rsidRDefault="00852238" w:rsidP="00852238">
      <w:pPr>
        <w:spacing w:after="0" w:line="240" w:lineRule="auto"/>
        <w:jc w:val="lowKashida"/>
        <w:rPr>
          <w:rFonts w:ascii="Simplified Arabic" w:eastAsia="Times New Roman" w:hAnsi="Simplified Arabic" w:cs="Simplified Arabic"/>
          <w:sz w:val="28"/>
          <w:szCs w:val="28"/>
        </w:rPr>
      </w:pPr>
    </w:p>
    <w:p w:rsidR="00852238" w:rsidRPr="00852238" w:rsidRDefault="00852238" w:rsidP="00852238">
      <w:pPr>
        <w:spacing w:after="0" w:line="240" w:lineRule="auto"/>
        <w:jc w:val="center"/>
        <w:rPr>
          <w:rFonts w:ascii="Times New Roman" w:eastAsia="Times New Roman" w:hAnsi="Times New Roman" w:cs="Simplified Arabic"/>
          <w:sz w:val="24"/>
          <w:szCs w:val="24"/>
          <w:rtl/>
        </w:rPr>
      </w:pPr>
      <w:r w:rsidRPr="00852238">
        <w:rPr>
          <w:rFonts w:ascii="Simplified Arabic" w:eastAsia="Times New Roman" w:hAnsi="Simplified Arabic" w:cs="Simplified Arabic"/>
          <w:sz w:val="24"/>
          <w:szCs w:val="24"/>
          <w:rtl/>
        </w:rPr>
        <w:t>" سنة المكتب الفنى "  30 " رقم الصفحة -   -  قاعدة رقم –   -  "</w:t>
      </w:r>
    </w:p>
    <w:p w:rsidR="00852238" w:rsidRPr="00852238" w:rsidRDefault="00852238" w:rsidP="00852238">
      <w:pPr>
        <w:spacing w:after="0" w:line="240" w:lineRule="auto"/>
        <w:jc w:val="center"/>
        <w:rPr>
          <w:rFonts w:ascii="Times New Roman" w:eastAsia="Times New Roman" w:hAnsi="Times New Roman" w:cs="PT Bold Heading"/>
          <w:b/>
          <w:bCs/>
          <w:color w:val="008000"/>
          <w:sz w:val="32"/>
          <w:szCs w:val="32"/>
          <w:lang w:eastAsia="ar-SA"/>
        </w:rPr>
      </w:pPr>
    </w:p>
    <w:p w:rsidR="00852238" w:rsidRPr="00852238" w:rsidRDefault="00852238" w:rsidP="00852238">
      <w:pPr>
        <w:spacing w:after="0" w:line="240" w:lineRule="auto"/>
        <w:rPr>
          <w:rFonts w:ascii="Times New Roman" w:eastAsia="Times New Roman" w:hAnsi="Times New Roman" w:cs="Times New Roman" w:hint="cs"/>
          <w:sz w:val="24"/>
          <w:szCs w:val="24"/>
          <w:rtl/>
        </w:rPr>
      </w:pPr>
    </w:p>
    <w:p w:rsidR="006173AA" w:rsidRDefault="006173AA">
      <w:bookmarkStart w:id="0" w:name="_GoBack"/>
      <w:bookmarkEnd w:id="0"/>
    </w:p>
    <w:sectPr w:rsidR="006173A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AAD"/>
    <w:rsid w:val="0003272B"/>
    <w:rsid w:val="00421AAD"/>
    <w:rsid w:val="006173AA"/>
    <w:rsid w:val="008522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61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2020-06-08T10:20:00Z</dcterms:created>
  <dcterms:modified xsi:type="dcterms:W3CDTF">2020-06-08T10:20:00Z</dcterms:modified>
</cp:coreProperties>
</file>