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C7" w:rsidRPr="002177C7" w:rsidRDefault="002177C7" w:rsidP="002177C7">
      <w:pPr>
        <w:spacing w:after="0" w:line="240" w:lineRule="auto"/>
        <w:jc w:val="center"/>
        <w:rPr>
          <w:rFonts w:ascii="Times New Roman" w:eastAsia="Times New Roman" w:hAnsi="Times New Roman" w:cs="PT Bold Heading"/>
          <w:b/>
          <w:bCs/>
          <w:color w:val="008000"/>
          <w:sz w:val="32"/>
          <w:szCs w:val="32"/>
          <w:lang w:eastAsia="ar-SA"/>
        </w:rPr>
      </w:pPr>
      <w:r w:rsidRPr="002177C7">
        <w:rPr>
          <w:rFonts w:ascii="Times New Roman" w:eastAsia="Times New Roman" w:hAnsi="Times New Roman" w:cs="PT Bold Heading" w:hint="cs"/>
          <w:b/>
          <w:bCs/>
          <w:color w:val="008000"/>
          <w:sz w:val="32"/>
          <w:szCs w:val="32"/>
          <w:rtl/>
          <w:lang w:eastAsia="ar-SA"/>
        </w:rPr>
        <w:t xml:space="preserve">الطعن رقم 484 لسنة 45 ق </w:t>
      </w:r>
      <w:r w:rsidRPr="002177C7">
        <w:rPr>
          <w:rFonts w:ascii="Times New Roman" w:eastAsia="Times New Roman" w:hAnsi="Times New Roman" w:cs="Times New Roman" w:hint="cs"/>
          <w:b/>
          <w:bCs/>
          <w:color w:val="008000"/>
          <w:sz w:val="32"/>
          <w:szCs w:val="32"/>
          <w:rtl/>
          <w:lang w:eastAsia="ar-SA"/>
        </w:rPr>
        <w:t>-</w:t>
      </w:r>
      <w:r w:rsidRPr="002177C7">
        <w:rPr>
          <w:rFonts w:ascii="Times New Roman" w:eastAsia="Times New Roman" w:hAnsi="Times New Roman" w:cs="PT Bold Heading" w:hint="cs"/>
          <w:b/>
          <w:bCs/>
          <w:color w:val="008000"/>
          <w:sz w:val="32"/>
          <w:szCs w:val="32"/>
          <w:rtl/>
          <w:lang w:eastAsia="ar-SA"/>
        </w:rPr>
        <w:t xml:space="preserve"> جلسة 19-5-1979</w:t>
      </w:r>
    </w:p>
    <w:p w:rsidR="002177C7" w:rsidRPr="002177C7" w:rsidRDefault="002177C7" w:rsidP="002177C7">
      <w:pPr>
        <w:spacing w:after="0" w:line="240" w:lineRule="auto"/>
        <w:jc w:val="center"/>
        <w:rPr>
          <w:rFonts w:ascii="Times New Roman" w:eastAsia="Times New Roman" w:hAnsi="Times New Roman" w:cs="PT Bold Heading"/>
          <w:b/>
          <w:bCs/>
          <w:color w:val="008000"/>
          <w:sz w:val="32"/>
          <w:szCs w:val="32"/>
          <w:lang w:eastAsia="ar-SA"/>
        </w:rPr>
      </w:pPr>
      <w:r w:rsidRPr="002177C7">
        <w:rPr>
          <w:rFonts w:ascii="Times New Roman" w:eastAsia="Times New Roman" w:hAnsi="Times New Roman" w:cs="PT Bold Heading" w:hint="cs"/>
          <w:b/>
          <w:bCs/>
          <w:color w:val="008000"/>
          <w:sz w:val="32"/>
          <w:szCs w:val="32"/>
          <w:rtl/>
          <w:lang w:eastAsia="ar-SA"/>
        </w:rPr>
        <w:t>الموضوع ،  و  الموجز :</w:t>
      </w:r>
    </w:p>
    <w:p w:rsidR="002177C7" w:rsidRPr="002177C7" w:rsidRDefault="002177C7" w:rsidP="002177C7">
      <w:pPr>
        <w:spacing w:after="0" w:line="240" w:lineRule="auto"/>
        <w:jc w:val="lowKashida"/>
        <w:rPr>
          <w:rFonts w:ascii="Times New Roman" w:eastAsia="Times New Roman" w:hAnsi="Times New Roman" w:cs="Simplified Arabic"/>
          <w:b/>
          <w:bCs/>
          <w:sz w:val="32"/>
          <w:szCs w:val="32"/>
        </w:rPr>
      </w:pPr>
    </w:p>
    <w:p w:rsidR="002177C7" w:rsidRPr="002177C7" w:rsidRDefault="002177C7" w:rsidP="002177C7">
      <w:pPr>
        <w:spacing w:after="0" w:line="240" w:lineRule="auto"/>
        <w:jc w:val="lowKashida"/>
        <w:rPr>
          <w:rFonts w:ascii="Times New Roman" w:eastAsia="Times New Roman" w:hAnsi="Times New Roman" w:cs="Simplified Arabic"/>
          <w:b/>
          <w:bCs/>
          <w:sz w:val="28"/>
          <w:szCs w:val="28"/>
        </w:rPr>
      </w:pPr>
      <w:r w:rsidRPr="002177C7">
        <w:rPr>
          <w:rFonts w:ascii="Simplified Arabic" w:eastAsia="Times New Roman" w:hAnsi="Simplified Arabic" w:cs="Simplified Arabic"/>
          <w:b/>
          <w:bCs/>
          <w:sz w:val="32"/>
          <w:szCs w:val="32"/>
          <w:rtl/>
        </w:rPr>
        <w:t xml:space="preserve">(1) </w:t>
      </w:r>
      <w:r w:rsidRPr="002177C7">
        <w:rPr>
          <w:rFonts w:ascii="Simplified Arabic" w:eastAsia="Times New Roman" w:hAnsi="Simplified Arabic" w:cs="Simplified Arabic"/>
          <w:b/>
          <w:bCs/>
          <w:sz w:val="28"/>
          <w:szCs w:val="24"/>
          <w:rtl/>
        </w:rPr>
        <w:t xml:space="preserve">   </w:t>
      </w:r>
      <w:r w:rsidRPr="002177C7">
        <w:rPr>
          <w:rFonts w:ascii="Simplified Arabic" w:eastAsia="Times New Roman" w:hAnsi="Simplified Arabic" w:cs="Simplified Arabic"/>
          <w:b/>
          <w:bCs/>
          <w:sz w:val="28"/>
          <w:szCs w:val="28"/>
          <w:rtl/>
        </w:rPr>
        <w:t xml:space="preserve"> دعوى </w:t>
      </w:r>
    </w:p>
    <w:p w:rsidR="002177C7" w:rsidRPr="002177C7" w:rsidRDefault="002177C7" w:rsidP="002177C7">
      <w:pPr>
        <w:spacing w:after="0" w:line="240" w:lineRule="auto"/>
        <w:jc w:val="lowKashida"/>
        <w:rPr>
          <w:rFonts w:ascii="Times New Roman" w:eastAsia="Times New Roman" w:hAnsi="Times New Roman" w:cs="Simplified Arabic"/>
          <w:sz w:val="28"/>
          <w:szCs w:val="28"/>
        </w:rPr>
      </w:pPr>
      <w:r w:rsidRPr="002177C7">
        <w:rPr>
          <w:rFonts w:ascii="Times New Roman" w:eastAsia="Times New Roman" w:hAnsi="Times New Roman" w:cs="Simplified Arabic"/>
          <w:sz w:val="28"/>
          <w:szCs w:val="28"/>
        </w:rPr>
        <w:t>-</w:t>
      </w:r>
      <w:r w:rsidRPr="002177C7">
        <w:rPr>
          <w:rFonts w:ascii="Simplified Arabic" w:eastAsia="Times New Roman" w:hAnsi="Simplified Arabic" w:cs="Simplified Arabic"/>
          <w:sz w:val="28"/>
          <w:szCs w:val="28"/>
          <w:rtl/>
        </w:rPr>
        <w:t xml:space="preserve"> وجوب رفع الطعن بذات الصفة التى كان الطاعن متصفا بها فى الخصومة اغفال الطاعن بيان صفته فى صدر </w:t>
      </w:r>
      <w:proofErr w:type="gramStart"/>
      <w:r w:rsidRPr="002177C7">
        <w:rPr>
          <w:rFonts w:ascii="Simplified Arabic" w:eastAsia="Times New Roman" w:hAnsi="Simplified Arabic" w:cs="Simplified Arabic"/>
          <w:sz w:val="28"/>
          <w:szCs w:val="28"/>
          <w:rtl/>
        </w:rPr>
        <w:t>الصحيفة .</w:t>
      </w:r>
      <w:proofErr w:type="gramEnd"/>
      <w:r w:rsidRPr="002177C7">
        <w:rPr>
          <w:rFonts w:ascii="Simplified Arabic" w:eastAsia="Times New Roman" w:hAnsi="Simplified Arabic" w:cs="Simplified Arabic"/>
          <w:sz w:val="28"/>
          <w:szCs w:val="28"/>
          <w:rtl/>
        </w:rPr>
        <w:t xml:space="preserve"> لا خطأ طالما أن هذه الصفة . مبينة فى مواضع أخرى من الصحيفة .</w:t>
      </w:r>
    </w:p>
    <w:p w:rsidR="002177C7" w:rsidRPr="002177C7" w:rsidRDefault="002177C7" w:rsidP="002177C7">
      <w:pPr>
        <w:spacing w:after="0" w:line="240" w:lineRule="auto"/>
        <w:jc w:val="lowKashida"/>
        <w:rPr>
          <w:rFonts w:ascii="Simplified Arabic" w:eastAsia="Times New Roman" w:hAnsi="Simplified Arabic" w:cs="Simplified Arabic"/>
          <w:b/>
          <w:bCs/>
          <w:sz w:val="28"/>
          <w:szCs w:val="24"/>
        </w:rPr>
      </w:pPr>
    </w:p>
    <w:p w:rsidR="002177C7" w:rsidRPr="002177C7" w:rsidRDefault="002177C7" w:rsidP="002177C7">
      <w:pPr>
        <w:spacing w:after="0" w:line="240" w:lineRule="auto"/>
        <w:jc w:val="lowKashida"/>
        <w:rPr>
          <w:rFonts w:ascii="Times New Roman" w:eastAsia="Times New Roman" w:hAnsi="Times New Roman" w:cs="Simplified Arabic"/>
          <w:b/>
          <w:bCs/>
          <w:sz w:val="28"/>
          <w:szCs w:val="24"/>
          <w:rtl/>
        </w:rPr>
      </w:pPr>
    </w:p>
    <w:p w:rsidR="002177C7" w:rsidRPr="002177C7" w:rsidRDefault="002177C7" w:rsidP="002177C7">
      <w:pPr>
        <w:spacing w:after="0" w:line="240" w:lineRule="auto"/>
        <w:jc w:val="lowKashida"/>
        <w:rPr>
          <w:rFonts w:ascii="Simplified Arabic" w:eastAsia="Times New Roman" w:hAnsi="Simplified Arabic" w:cs="Simplified Arabic"/>
          <w:b/>
          <w:bCs/>
          <w:sz w:val="28"/>
          <w:szCs w:val="24"/>
        </w:rPr>
      </w:pPr>
      <w:r w:rsidRPr="002177C7">
        <w:rPr>
          <w:rFonts w:ascii="Simplified Arabic" w:eastAsia="Times New Roman" w:hAnsi="Simplified Arabic" w:cs="Simplified Arabic"/>
          <w:b/>
          <w:bCs/>
          <w:sz w:val="32"/>
          <w:szCs w:val="32"/>
          <w:rtl/>
        </w:rPr>
        <w:t xml:space="preserve">(2) </w:t>
      </w:r>
      <w:r w:rsidRPr="002177C7">
        <w:rPr>
          <w:rFonts w:ascii="Simplified Arabic" w:eastAsia="Times New Roman" w:hAnsi="Simplified Arabic" w:cs="Simplified Arabic"/>
          <w:b/>
          <w:bCs/>
          <w:sz w:val="28"/>
          <w:szCs w:val="24"/>
          <w:rtl/>
        </w:rPr>
        <w:t xml:space="preserve">   </w:t>
      </w:r>
      <w:r w:rsidRPr="002177C7">
        <w:rPr>
          <w:rFonts w:ascii="Simplified Arabic" w:eastAsia="Times New Roman" w:hAnsi="Simplified Arabic" w:cs="Simplified Arabic"/>
          <w:b/>
          <w:bCs/>
          <w:sz w:val="28"/>
          <w:szCs w:val="28"/>
          <w:rtl/>
        </w:rPr>
        <w:t>حكم</w:t>
      </w:r>
    </w:p>
    <w:p w:rsidR="002177C7" w:rsidRPr="002177C7" w:rsidRDefault="002177C7" w:rsidP="002177C7">
      <w:pPr>
        <w:spacing w:after="0" w:line="240" w:lineRule="auto"/>
        <w:jc w:val="lowKashida"/>
        <w:rPr>
          <w:rFonts w:ascii="Simplified Arabic" w:eastAsia="Times New Roman" w:hAnsi="Simplified Arabic" w:cs="Simplified Arabic"/>
          <w:b/>
          <w:bCs/>
          <w:sz w:val="28"/>
          <w:szCs w:val="24"/>
          <w:rtl/>
        </w:rPr>
      </w:pPr>
      <w:r w:rsidRPr="002177C7">
        <w:rPr>
          <w:rFonts w:ascii="Times New Roman" w:eastAsia="Times New Roman" w:hAnsi="Times New Roman" w:cs="Simplified Arabic"/>
          <w:sz w:val="28"/>
          <w:szCs w:val="24"/>
        </w:rPr>
        <w:t>-</w:t>
      </w:r>
    </w:p>
    <w:p w:rsidR="002177C7" w:rsidRPr="002177C7" w:rsidRDefault="002177C7" w:rsidP="002177C7">
      <w:pPr>
        <w:spacing w:after="0" w:line="240" w:lineRule="auto"/>
        <w:jc w:val="lowKashida"/>
        <w:rPr>
          <w:rFonts w:ascii="Simplified Arabic" w:eastAsia="Times New Roman" w:hAnsi="Simplified Arabic" w:cs="Simplified Arabic"/>
          <w:b/>
          <w:bCs/>
          <w:sz w:val="28"/>
          <w:szCs w:val="24"/>
          <w:rtl/>
        </w:rPr>
      </w:pPr>
    </w:p>
    <w:p w:rsidR="002177C7" w:rsidRPr="002177C7" w:rsidRDefault="002177C7" w:rsidP="002177C7">
      <w:pPr>
        <w:spacing w:after="0" w:line="240" w:lineRule="auto"/>
        <w:jc w:val="center"/>
        <w:rPr>
          <w:rFonts w:ascii="Times New Roman" w:eastAsia="Times New Roman" w:hAnsi="Times New Roman" w:cs="PT Bold Heading"/>
          <w:b/>
          <w:bCs/>
          <w:color w:val="008000"/>
          <w:sz w:val="32"/>
          <w:szCs w:val="32"/>
          <w:rtl/>
          <w:lang w:eastAsia="ar-SA"/>
        </w:rPr>
      </w:pPr>
      <w:r w:rsidRPr="002177C7">
        <w:rPr>
          <w:rFonts w:ascii="Times New Roman" w:eastAsia="Times New Roman" w:hAnsi="Times New Roman" w:cs="PT Bold Heading" w:hint="cs"/>
          <w:b/>
          <w:bCs/>
          <w:color w:val="008000"/>
          <w:sz w:val="32"/>
          <w:szCs w:val="32"/>
          <w:rtl/>
          <w:lang w:eastAsia="ar-SA"/>
        </w:rPr>
        <w:t>القاعدة</w:t>
      </w:r>
    </w:p>
    <w:p w:rsidR="002177C7" w:rsidRPr="002177C7" w:rsidRDefault="002177C7" w:rsidP="002177C7">
      <w:pPr>
        <w:spacing w:after="0" w:line="240" w:lineRule="auto"/>
        <w:jc w:val="lowKashida"/>
        <w:rPr>
          <w:rFonts w:ascii="Times New Roman" w:eastAsia="Times New Roman" w:hAnsi="Times New Roman" w:cs="Simplified Arabic" w:hint="cs"/>
          <w:sz w:val="28"/>
          <w:szCs w:val="28"/>
          <w:rtl/>
        </w:rPr>
      </w:pPr>
      <w:r w:rsidRPr="002177C7">
        <w:rPr>
          <w:rFonts w:ascii="Simplified Arabic" w:eastAsia="Times New Roman" w:hAnsi="Simplified Arabic" w:cs="Simplified Arabic"/>
          <w:sz w:val="28"/>
          <w:szCs w:val="28"/>
          <w:rtl/>
        </w:rPr>
        <w:t>1- لئن كان يلزم لصحة الطعن المطعون رفعه من المحكوم عليه بذات الصفة التى كان متصفاً بها فى ذات الخصومة التى صدر بها الحكم المطعون فيه ، إلا أنه لما كان القانون لم يشترط فى بيان هذه الصفة موضعاً معيناً من صحيفة الطعن فإنه يكفى لصحته أن يرد عنها بصحيفته فى أى موضع منها ما يفيد أقامة الطاعن له بذات الصفة ، لما كان ذلك و كان البين من صحيفة الطعن أن الطاعن و إن لم يشر فى صدورها إلى صفتة كحارس قضائى على العقار الواقعه به عين النزاع ، و هى الصفة التى أقام بها الدعوى المطعون فى حكمها و صدور الحكم على أساسها ، إلا أنه ردد هذه الصفة فى مواضع متعددة من الصحيفة سواء فى بيان وقائع النزاع أو أسباب الطعن ، مما يدل على أنه إلتزم فى طعنه الصفة التى صدر بها الحكم المطعون فيه ، و من ثم يكون الدفع بعدم قبول الطعن لرفعه من غير ذى صفة على غير أساس .</w:t>
      </w:r>
    </w:p>
    <w:p w:rsidR="002177C7" w:rsidRPr="002177C7" w:rsidRDefault="002177C7" w:rsidP="002177C7">
      <w:pPr>
        <w:spacing w:after="0" w:line="240" w:lineRule="auto"/>
        <w:jc w:val="lowKashida"/>
        <w:rPr>
          <w:rFonts w:ascii="Times New Roman" w:eastAsia="Times New Roman" w:hAnsi="Times New Roman" w:cs="Simplified Arabic"/>
          <w:sz w:val="28"/>
          <w:szCs w:val="28"/>
        </w:rPr>
      </w:pPr>
    </w:p>
    <w:p w:rsidR="002177C7" w:rsidRPr="002177C7" w:rsidRDefault="002177C7" w:rsidP="002177C7">
      <w:pPr>
        <w:spacing w:after="0" w:line="240" w:lineRule="auto"/>
        <w:jc w:val="lowKashida"/>
        <w:rPr>
          <w:rFonts w:ascii="Times New Roman" w:eastAsia="Times New Roman" w:hAnsi="Times New Roman" w:cs="Simplified Arabic"/>
          <w:sz w:val="28"/>
          <w:szCs w:val="28"/>
        </w:rPr>
      </w:pPr>
      <w:r w:rsidRPr="002177C7">
        <w:rPr>
          <w:rFonts w:ascii="Simplified Arabic" w:eastAsia="Times New Roman" w:hAnsi="Simplified Arabic" w:cs="Simplified Arabic"/>
          <w:sz w:val="28"/>
          <w:szCs w:val="28"/>
          <w:rtl/>
        </w:rPr>
        <w:t>2- تنص المادة 2-1 من قرار وزير الإسكان رقم 418 لسنة 197 على أن " لكل مالك من ملاك العقار المنشأ الأولوية فى أن يشغل بنفسه وحدة به " ، و إذ كان حكم الدرجة الأولى المؤيد لأسبابه بالحكم المطعون فيه قد إنتهى فى أسبابه إلى أن هذا النص لا ينطبق إلا فى حالة العقار الذى ينشأ بعد هدمه و لا يشمل العقار الذى يتم ترميمه - كما هو الحال فى واقعة الدعوى - و أنه بذلك يكون الإستناد إلى هذا النص على غير أساس ، فإن ما خلص إليه يكون متفقاً و صحيح القانون .</w:t>
      </w:r>
    </w:p>
    <w:p w:rsidR="002177C7" w:rsidRPr="002177C7" w:rsidRDefault="002177C7" w:rsidP="002177C7">
      <w:pPr>
        <w:spacing w:after="0" w:line="240" w:lineRule="auto"/>
        <w:jc w:val="lowKashida"/>
        <w:rPr>
          <w:rFonts w:ascii="Times New Roman" w:eastAsia="Times New Roman" w:hAnsi="Times New Roman" w:cs="Simplified Arabic"/>
          <w:sz w:val="28"/>
          <w:szCs w:val="28"/>
        </w:rPr>
      </w:pPr>
    </w:p>
    <w:p w:rsidR="002177C7" w:rsidRPr="002177C7" w:rsidRDefault="002177C7" w:rsidP="002177C7">
      <w:pPr>
        <w:spacing w:after="0" w:line="240" w:lineRule="auto"/>
        <w:jc w:val="center"/>
        <w:rPr>
          <w:rFonts w:ascii="Times New Roman" w:eastAsia="Times New Roman" w:hAnsi="Times New Roman" w:cs="Simplified Arabic"/>
          <w:sz w:val="24"/>
          <w:szCs w:val="24"/>
        </w:rPr>
      </w:pPr>
      <w:r w:rsidRPr="002177C7">
        <w:rPr>
          <w:rFonts w:ascii="Simplified Arabic" w:eastAsia="Times New Roman" w:hAnsi="Simplified Arabic" w:cs="Simplified Arabic"/>
          <w:sz w:val="24"/>
          <w:szCs w:val="24"/>
          <w:rtl/>
        </w:rPr>
        <w:t>" سنة المكتب الفنى "  30 " رقم الصفحة -  389 -  قاعدة رقم –   -  "</w:t>
      </w:r>
    </w:p>
    <w:p w:rsidR="002177C7" w:rsidRPr="002177C7" w:rsidRDefault="002177C7" w:rsidP="002177C7">
      <w:pPr>
        <w:spacing w:after="0" w:line="240" w:lineRule="auto"/>
        <w:rPr>
          <w:rFonts w:ascii="Times New Roman" w:eastAsia="Times New Roman" w:hAnsi="Times New Roman" w:cs="Times New Roman"/>
          <w:sz w:val="24"/>
          <w:szCs w:val="24"/>
        </w:rPr>
      </w:pPr>
    </w:p>
    <w:p w:rsidR="006173AA" w:rsidRPr="002177C7" w:rsidRDefault="006173AA">
      <w:bookmarkStart w:id="0" w:name="_GoBack"/>
      <w:bookmarkEnd w:id="0"/>
    </w:p>
    <w:sectPr w:rsidR="006173AA" w:rsidRPr="002177C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17"/>
    <w:rsid w:val="0003272B"/>
    <w:rsid w:val="002177C7"/>
    <w:rsid w:val="00566117"/>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0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2020-06-08T09:35:00Z</dcterms:created>
  <dcterms:modified xsi:type="dcterms:W3CDTF">2020-06-08T09:35:00Z</dcterms:modified>
</cp:coreProperties>
</file>