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23" w:rsidRPr="00466C23" w:rsidRDefault="00466C23" w:rsidP="00466C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66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445 لسنة 46 ق </w:t>
      </w:r>
      <w:r w:rsidRPr="00466C2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66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28-5-1979</w:t>
      </w:r>
    </w:p>
    <w:p w:rsidR="00466C23" w:rsidRPr="00466C23" w:rsidRDefault="00466C23" w:rsidP="00466C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66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66C23" w:rsidRPr="00466C23" w:rsidRDefault="00466C23" w:rsidP="00466C2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66C23" w:rsidRPr="00466C23" w:rsidRDefault="00466C23" w:rsidP="00466C2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66C2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66C2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66C2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بيع</w:t>
      </w:r>
    </w:p>
    <w:p w:rsidR="00466C23" w:rsidRPr="00466C23" w:rsidRDefault="00466C23" w:rsidP="00466C2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66C2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66C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466C2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مشتري العقار بعقد لم يسجل حقه في طلب تسليم العين المبيعة اليه وطرد الغاصب </w:t>
      </w:r>
      <w:proofErr w:type="gramStart"/>
      <w:r w:rsidRPr="00466C23">
        <w:rPr>
          <w:rFonts w:ascii="Simplified Arabic" w:eastAsia="Times New Roman" w:hAnsi="Simplified Arabic" w:cs="Simplified Arabic" w:hint="cs"/>
          <w:sz w:val="28"/>
          <w:szCs w:val="28"/>
          <w:rtl/>
        </w:rPr>
        <w:t>منها .</w:t>
      </w:r>
      <w:proofErr w:type="gramEnd"/>
      <w:r w:rsidRPr="00466C2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علة ذلك .</w:t>
      </w:r>
    </w:p>
    <w:p w:rsidR="00466C23" w:rsidRPr="00466C23" w:rsidRDefault="00466C23" w:rsidP="00466C2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66C23" w:rsidRPr="00466C23" w:rsidRDefault="00466C23" w:rsidP="00466C2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66C23" w:rsidRPr="00466C23" w:rsidRDefault="00466C23" w:rsidP="00466C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66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66C23" w:rsidRPr="00466C23" w:rsidRDefault="00466C23" w:rsidP="00466C23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466C23">
        <w:rPr>
          <w:rFonts w:ascii="Simplified Arabic" w:eastAsia="Times New Roman" w:hAnsi="Simplified Arabic" w:cs="Simplified Arabic"/>
          <w:sz w:val="28"/>
          <w:szCs w:val="28"/>
          <w:rtl/>
        </w:rPr>
        <w:t>1- إذ كان الطاعن قد أسس دعواه - بطلب طرد واضع اليد على العقار مشتراه - على عقدى البيع العرفيين الصادرين له و كان عقد البيع - و لو لم يكن مشهراً - ينقل إلى المشترى جميع الحقوق المتعلقة بالمبيع و الدعاوى المرتبطة به بما فى ذلك طلب تسليم العين المبيعة و طرد الغاصب منها إستناداً إلى أن العقد العرفى يمنح المشترى الحق فى إستلام المبيع لأنه من الآثار التى تنشأ عن عقد البيع الصحيح . و إذ خالف الحكم المطعون فيه هذا النظر بقضائه برفض الدعوى تأسيساً على أن الطاعن لم يكتسب ملكية المنزل محل النزاع لعدم شهر عقدى شرائه فإنه يكون قد أخطأ فى تطبيق القانون .</w:t>
      </w:r>
    </w:p>
    <w:p w:rsidR="00466C23" w:rsidRPr="00466C23" w:rsidRDefault="00466C23" w:rsidP="00466C2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66C23" w:rsidRPr="00466C23" w:rsidRDefault="00466C23" w:rsidP="00466C23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466C23" w:rsidRPr="00466C23" w:rsidRDefault="00466C23" w:rsidP="00466C2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66C2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468-  قاعدة رقم –   -  "</w:t>
      </w:r>
    </w:p>
    <w:p w:rsidR="00466C23" w:rsidRPr="00466C23" w:rsidRDefault="00466C23" w:rsidP="0046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66C23" w:rsidRDefault="006173AA">
      <w:bookmarkStart w:id="0" w:name="_GoBack"/>
      <w:bookmarkEnd w:id="0"/>
    </w:p>
    <w:sectPr w:rsidR="006173AA" w:rsidRPr="00466C2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98"/>
    <w:rsid w:val="0003272B"/>
    <w:rsid w:val="00466C23"/>
    <w:rsid w:val="00582998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2020-06-08T09:10:00Z</dcterms:created>
  <dcterms:modified xsi:type="dcterms:W3CDTF">2020-06-08T09:10:00Z</dcterms:modified>
</cp:coreProperties>
</file>