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DC8" w:rsidRPr="00682DC8" w:rsidRDefault="00682DC8" w:rsidP="00682DC8">
      <w:pPr>
        <w:spacing w:after="0" w:line="240" w:lineRule="auto"/>
        <w:jc w:val="center"/>
        <w:rPr>
          <w:rFonts w:ascii="Times New Roman" w:eastAsia="Times New Roman" w:hAnsi="Times New Roman" w:cs="PT Bold Heading"/>
          <w:b/>
          <w:bCs/>
          <w:color w:val="008000"/>
          <w:sz w:val="32"/>
          <w:szCs w:val="32"/>
          <w:lang w:eastAsia="ar-SA"/>
        </w:rPr>
      </w:pPr>
      <w:r w:rsidRPr="00682DC8">
        <w:rPr>
          <w:rFonts w:ascii="Times New Roman" w:eastAsia="Times New Roman" w:hAnsi="Times New Roman" w:cs="PT Bold Heading" w:hint="cs"/>
          <w:b/>
          <w:bCs/>
          <w:color w:val="008000"/>
          <w:sz w:val="32"/>
          <w:szCs w:val="32"/>
          <w:rtl/>
          <w:lang w:eastAsia="ar-SA"/>
        </w:rPr>
        <w:t xml:space="preserve">الطعن رقم 287 لسنة 46 ق </w:t>
      </w:r>
      <w:r w:rsidRPr="00682DC8">
        <w:rPr>
          <w:rFonts w:ascii="Times New Roman" w:eastAsia="Times New Roman" w:hAnsi="Times New Roman" w:cs="Times New Roman" w:hint="cs"/>
          <w:b/>
          <w:bCs/>
          <w:color w:val="008000"/>
          <w:sz w:val="32"/>
          <w:szCs w:val="32"/>
          <w:rtl/>
          <w:lang w:eastAsia="ar-SA"/>
        </w:rPr>
        <w:t>-</w:t>
      </w:r>
      <w:r w:rsidRPr="00682DC8">
        <w:rPr>
          <w:rFonts w:ascii="Times New Roman" w:eastAsia="Times New Roman" w:hAnsi="Times New Roman" w:cs="PT Bold Heading" w:hint="cs"/>
          <w:b/>
          <w:bCs/>
          <w:color w:val="008000"/>
          <w:sz w:val="32"/>
          <w:szCs w:val="32"/>
          <w:rtl/>
          <w:lang w:eastAsia="ar-SA"/>
        </w:rPr>
        <w:t xml:space="preserve"> جلسة 25-6-1979</w:t>
      </w:r>
    </w:p>
    <w:p w:rsidR="00682DC8" w:rsidRPr="00682DC8" w:rsidRDefault="00682DC8" w:rsidP="00682DC8">
      <w:pPr>
        <w:spacing w:after="0" w:line="240" w:lineRule="auto"/>
        <w:jc w:val="center"/>
        <w:rPr>
          <w:rFonts w:ascii="Times New Roman" w:eastAsia="Times New Roman" w:hAnsi="Times New Roman" w:cs="PT Bold Heading"/>
          <w:b/>
          <w:bCs/>
          <w:color w:val="008000"/>
          <w:sz w:val="32"/>
          <w:szCs w:val="32"/>
          <w:lang w:eastAsia="ar-SA"/>
        </w:rPr>
      </w:pPr>
      <w:r w:rsidRPr="00682DC8">
        <w:rPr>
          <w:rFonts w:ascii="Times New Roman" w:eastAsia="Times New Roman" w:hAnsi="Times New Roman" w:cs="PT Bold Heading" w:hint="cs"/>
          <w:b/>
          <w:bCs/>
          <w:color w:val="008000"/>
          <w:sz w:val="32"/>
          <w:szCs w:val="32"/>
          <w:rtl/>
          <w:lang w:eastAsia="ar-SA"/>
        </w:rPr>
        <w:t>الموضوع ،  و  الموجز :</w:t>
      </w:r>
    </w:p>
    <w:p w:rsidR="00682DC8" w:rsidRPr="00682DC8" w:rsidRDefault="00682DC8" w:rsidP="00682DC8">
      <w:pPr>
        <w:spacing w:after="0" w:line="240" w:lineRule="auto"/>
        <w:jc w:val="lowKashida"/>
        <w:rPr>
          <w:rFonts w:ascii="Times New Roman" w:eastAsia="Times New Roman" w:hAnsi="Times New Roman" w:cs="Simplified Arabic"/>
          <w:b/>
          <w:bCs/>
          <w:sz w:val="32"/>
          <w:szCs w:val="32"/>
        </w:rPr>
      </w:pPr>
    </w:p>
    <w:p w:rsidR="00682DC8" w:rsidRPr="00682DC8" w:rsidRDefault="00682DC8" w:rsidP="00682DC8">
      <w:pPr>
        <w:spacing w:after="0" w:line="240" w:lineRule="auto"/>
        <w:jc w:val="lowKashida"/>
        <w:rPr>
          <w:rFonts w:ascii="Times New Roman" w:eastAsia="Times New Roman" w:hAnsi="Times New Roman" w:cs="Simplified Arabic"/>
          <w:b/>
          <w:bCs/>
          <w:sz w:val="28"/>
          <w:szCs w:val="28"/>
        </w:rPr>
      </w:pPr>
      <w:r w:rsidRPr="00682DC8">
        <w:rPr>
          <w:rFonts w:ascii="Simplified Arabic" w:eastAsia="Times New Roman" w:hAnsi="Simplified Arabic" w:cs="Simplified Arabic"/>
          <w:b/>
          <w:bCs/>
          <w:sz w:val="32"/>
          <w:szCs w:val="32"/>
          <w:rtl/>
        </w:rPr>
        <w:t xml:space="preserve">(1) </w:t>
      </w:r>
      <w:r w:rsidRPr="00682DC8">
        <w:rPr>
          <w:rFonts w:ascii="Simplified Arabic" w:eastAsia="Times New Roman" w:hAnsi="Simplified Arabic" w:cs="Simplified Arabic"/>
          <w:b/>
          <w:bCs/>
          <w:sz w:val="28"/>
          <w:szCs w:val="24"/>
          <w:rtl/>
        </w:rPr>
        <w:t xml:space="preserve">   </w:t>
      </w:r>
      <w:r w:rsidRPr="00682DC8">
        <w:rPr>
          <w:rFonts w:ascii="Simplified Arabic" w:eastAsia="Times New Roman" w:hAnsi="Simplified Arabic" w:cs="Simplified Arabic"/>
          <w:b/>
          <w:bCs/>
          <w:sz w:val="28"/>
          <w:szCs w:val="28"/>
          <w:rtl/>
        </w:rPr>
        <w:t xml:space="preserve"> حكم</w:t>
      </w:r>
    </w:p>
    <w:p w:rsidR="00682DC8" w:rsidRPr="00682DC8" w:rsidRDefault="00682DC8" w:rsidP="00682DC8">
      <w:pPr>
        <w:spacing w:after="0" w:line="240" w:lineRule="auto"/>
        <w:jc w:val="lowKashida"/>
        <w:rPr>
          <w:rFonts w:ascii="Times New Roman" w:eastAsia="Times New Roman" w:hAnsi="Times New Roman" w:cs="Simplified Arabic"/>
          <w:sz w:val="28"/>
          <w:szCs w:val="28"/>
        </w:rPr>
      </w:pPr>
      <w:r w:rsidRPr="00682DC8">
        <w:rPr>
          <w:rFonts w:ascii="Times New Roman" w:eastAsia="Times New Roman" w:hAnsi="Times New Roman" w:cs="Simplified Arabic"/>
          <w:sz w:val="28"/>
          <w:szCs w:val="28"/>
        </w:rPr>
        <w:t>-</w:t>
      </w:r>
      <w:r w:rsidRPr="00682DC8">
        <w:rPr>
          <w:rFonts w:ascii="Simplified Arabic" w:eastAsia="Times New Roman" w:hAnsi="Simplified Arabic" w:cs="Simplified Arabic"/>
          <w:sz w:val="28"/>
          <w:szCs w:val="28"/>
          <w:rtl/>
        </w:rPr>
        <w:t xml:space="preserve"> صدور الحكم في موضوع غير قابل للتجزئة أو في التزام بالتضامن للخصم الذي قبل الحكم أو فوت ميعاد الطعن فيه أن ينضم للطاعن عدم استعمال هذه الرخصة لا أثر له في شكل الطعن ولو أغفلت المحكمة الزام الطاعن باختصام من لم يطعن في </w:t>
      </w:r>
      <w:proofErr w:type="gramStart"/>
      <w:r w:rsidRPr="00682DC8">
        <w:rPr>
          <w:rFonts w:ascii="Simplified Arabic" w:eastAsia="Times New Roman" w:hAnsi="Simplified Arabic" w:cs="Simplified Arabic"/>
          <w:sz w:val="28"/>
          <w:szCs w:val="28"/>
          <w:rtl/>
        </w:rPr>
        <w:t>الحكم .</w:t>
      </w:r>
      <w:proofErr w:type="gramEnd"/>
      <w:r w:rsidRPr="00682DC8">
        <w:rPr>
          <w:rFonts w:ascii="Simplified Arabic" w:eastAsia="Times New Roman" w:hAnsi="Simplified Arabic" w:cs="Simplified Arabic"/>
          <w:sz w:val="28"/>
          <w:szCs w:val="28"/>
          <w:rtl/>
        </w:rPr>
        <w:t xml:space="preserve"> م 218 مرافعات</w:t>
      </w:r>
    </w:p>
    <w:p w:rsidR="00682DC8" w:rsidRPr="00682DC8" w:rsidRDefault="00682DC8" w:rsidP="00682DC8">
      <w:pPr>
        <w:spacing w:after="0" w:line="240" w:lineRule="auto"/>
        <w:jc w:val="lowKashida"/>
        <w:rPr>
          <w:rFonts w:ascii="Simplified Arabic" w:eastAsia="Times New Roman" w:hAnsi="Simplified Arabic" w:cs="Simplified Arabic"/>
          <w:b/>
          <w:bCs/>
          <w:sz w:val="28"/>
          <w:szCs w:val="24"/>
        </w:rPr>
      </w:pPr>
    </w:p>
    <w:p w:rsidR="00682DC8" w:rsidRPr="00682DC8" w:rsidRDefault="00682DC8" w:rsidP="00682DC8">
      <w:pPr>
        <w:spacing w:after="0" w:line="240" w:lineRule="auto"/>
        <w:jc w:val="lowKashida"/>
        <w:rPr>
          <w:rFonts w:ascii="Times New Roman" w:eastAsia="Times New Roman" w:hAnsi="Times New Roman" w:cs="Simplified Arabic"/>
          <w:b/>
          <w:bCs/>
          <w:sz w:val="28"/>
          <w:szCs w:val="24"/>
          <w:rtl/>
        </w:rPr>
      </w:pPr>
      <w:r w:rsidRPr="00682DC8">
        <w:rPr>
          <w:rFonts w:ascii="Simplified Arabic" w:eastAsia="Times New Roman" w:hAnsi="Simplified Arabic" w:cs="Simplified Arabic"/>
          <w:b/>
          <w:bCs/>
          <w:sz w:val="32"/>
          <w:szCs w:val="32"/>
          <w:rtl/>
        </w:rPr>
        <w:t xml:space="preserve">(2) </w:t>
      </w:r>
      <w:r w:rsidRPr="00682DC8">
        <w:rPr>
          <w:rFonts w:ascii="Simplified Arabic" w:eastAsia="Times New Roman" w:hAnsi="Simplified Arabic" w:cs="Simplified Arabic"/>
          <w:b/>
          <w:bCs/>
          <w:sz w:val="28"/>
          <w:szCs w:val="24"/>
          <w:rtl/>
        </w:rPr>
        <w:t xml:space="preserve">    </w:t>
      </w:r>
      <w:r w:rsidRPr="00682DC8">
        <w:rPr>
          <w:rFonts w:ascii="Simplified Arabic" w:eastAsia="Times New Roman" w:hAnsi="Simplified Arabic" w:cs="Simplified Arabic"/>
          <w:b/>
          <w:bCs/>
          <w:sz w:val="28"/>
          <w:szCs w:val="28"/>
          <w:rtl/>
        </w:rPr>
        <w:t>قانون</w:t>
      </w:r>
      <w:r w:rsidRPr="00682DC8">
        <w:rPr>
          <w:rFonts w:ascii="Simplified Arabic" w:eastAsia="Times New Roman" w:hAnsi="Simplified Arabic" w:cs="Simplified Arabic"/>
          <w:b/>
          <w:bCs/>
          <w:sz w:val="28"/>
          <w:szCs w:val="24"/>
          <w:rtl/>
        </w:rPr>
        <w:t xml:space="preserve"> </w:t>
      </w:r>
    </w:p>
    <w:p w:rsidR="00682DC8" w:rsidRPr="00682DC8" w:rsidRDefault="00682DC8" w:rsidP="00682DC8">
      <w:pPr>
        <w:spacing w:after="0" w:line="240" w:lineRule="auto"/>
        <w:jc w:val="lowKashida"/>
        <w:rPr>
          <w:rFonts w:ascii="Simplified Arabic" w:eastAsia="Times New Roman" w:hAnsi="Simplified Arabic" w:cs="Simplified Arabic"/>
          <w:sz w:val="28"/>
          <w:szCs w:val="28"/>
        </w:rPr>
      </w:pPr>
      <w:r w:rsidRPr="00682DC8">
        <w:rPr>
          <w:rFonts w:ascii="Times New Roman" w:eastAsia="Times New Roman" w:hAnsi="Times New Roman" w:cs="Simplified Arabic"/>
          <w:sz w:val="28"/>
          <w:szCs w:val="28"/>
        </w:rPr>
        <w:t>-</w:t>
      </w:r>
      <w:r w:rsidRPr="00682DC8">
        <w:rPr>
          <w:rFonts w:ascii="Simplified Arabic" w:eastAsia="Times New Roman" w:hAnsi="Simplified Arabic" w:cs="Simplified Arabic"/>
          <w:sz w:val="28"/>
          <w:szCs w:val="28"/>
          <w:rtl/>
        </w:rPr>
        <w:t xml:space="preserve"> طلب المحامى تقدير أتعابه عن مباشرته دعوى انتهت بالشطب فى سنة </w:t>
      </w:r>
      <w:proofErr w:type="gramStart"/>
      <w:r w:rsidRPr="00682DC8">
        <w:rPr>
          <w:rFonts w:ascii="Simplified Arabic" w:eastAsia="Times New Roman" w:hAnsi="Simplified Arabic" w:cs="Simplified Arabic"/>
          <w:sz w:val="28"/>
          <w:szCs w:val="28"/>
          <w:rtl/>
        </w:rPr>
        <w:t>1967 .</w:t>
      </w:r>
      <w:proofErr w:type="gramEnd"/>
      <w:r w:rsidRPr="00682DC8">
        <w:rPr>
          <w:rFonts w:ascii="Simplified Arabic" w:eastAsia="Times New Roman" w:hAnsi="Simplified Arabic" w:cs="Simplified Arabic"/>
          <w:sz w:val="28"/>
          <w:szCs w:val="28"/>
          <w:rtl/>
        </w:rPr>
        <w:t xml:space="preserve"> خضوعه لأحكام قانون المحاماة السابق 96 لسنة 1957 . وضع حد أدني وأقصي للأتعاب فى القانون الحالى 61 لسنة 1968 . عدم سريانه علي الوقائع السابقة عليه .</w:t>
      </w:r>
    </w:p>
    <w:p w:rsidR="00682DC8" w:rsidRPr="00682DC8" w:rsidRDefault="00682DC8" w:rsidP="00682DC8">
      <w:pPr>
        <w:spacing w:after="0" w:line="240" w:lineRule="auto"/>
        <w:jc w:val="lowKashida"/>
        <w:rPr>
          <w:rFonts w:ascii="Simplified Arabic" w:eastAsia="Times New Roman" w:hAnsi="Simplified Arabic" w:cs="Simplified Arabic"/>
          <w:b/>
          <w:bCs/>
          <w:sz w:val="28"/>
          <w:szCs w:val="24"/>
          <w:rtl/>
        </w:rPr>
      </w:pPr>
    </w:p>
    <w:p w:rsidR="00682DC8" w:rsidRPr="00682DC8" w:rsidRDefault="00682DC8" w:rsidP="00682DC8">
      <w:pPr>
        <w:spacing w:after="0" w:line="240" w:lineRule="auto"/>
        <w:jc w:val="center"/>
        <w:rPr>
          <w:rFonts w:ascii="Times New Roman" w:eastAsia="Times New Roman" w:hAnsi="Times New Roman" w:cs="PT Bold Heading"/>
          <w:b/>
          <w:bCs/>
          <w:color w:val="008000"/>
          <w:sz w:val="32"/>
          <w:szCs w:val="32"/>
          <w:rtl/>
          <w:lang w:eastAsia="ar-SA"/>
        </w:rPr>
      </w:pPr>
      <w:r w:rsidRPr="00682DC8">
        <w:rPr>
          <w:rFonts w:ascii="Times New Roman" w:eastAsia="Times New Roman" w:hAnsi="Times New Roman" w:cs="PT Bold Heading" w:hint="cs"/>
          <w:b/>
          <w:bCs/>
          <w:color w:val="008000"/>
          <w:sz w:val="32"/>
          <w:szCs w:val="32"/>
          <w:rtl/>
          <w:lang w:eastAsia="ar-SA"/>
        </w:rPr>
        <w:t>القاعدة</w:t>
      </w:r>
    </w:p>
    <w:p w:rsidR="00682DC8" w:rsidRPr="00682DC8" w:rsidRDefault="00682DC8" w:rsidP="00682DC8">
      <w:pPr>
        <w:spacing w:after="0" w:line="240" w:lineRule="auto"/>
        <w:jc w:val="lowKashida"/>
        <w:rPr>
          <w:rFonts w:ascii="Simplified Arabic" w:eastAsia="Times New Roman" w:hAnsi="Simplified Arabic" w:cs="Simplified Arabic" w:hint="cs"/>
          <w:sz w:val="28"/>
          <w:szCs w:val="28"/>
          <w:rtl/>
        </w:rPr>
      </w:pPr>
      <w:r w:rsidRPr="00682DC8">
        <w:rPr>
          <w:rFonts w:ascii="Simplified Arabic" w:eastAsia="Times New Roman" w:hAnsi="Simplified Arabic" w:cs="Simplified Arabic"/>
          <w:sz w:val="28"/>
          <w:szCs w:val="28"/>
          <w:rtl/>
        </w:rPr>
        <w:t xml:space="preserve">1- النص فى المادة 218 من قانون المرافعات على أنه " إذا كان الحكم صادراً فى موضوع غير قابل للتجزئة أو فى إلتزام بالتضامن جاز لمن فوت ميعاد الطعن من المحكوم عليهم أو قبل الحكم أن يطعن فيه أثناء نظر الطعن المرفوع فى الميعاد من أحد زملائه منضماً إليه فى طلباته ، فإن لم يفعل أمرت المحكمة الطاعن بإختصامه فى الطعن " يدل على أن المشرع أجاز خروجاً على مبدأ نسبية الأثر المترتب على إجراءات المرافعات أن يفيد خصم من طعن مرفوع من غيره فى الميعاد إذا كان الحكم صادراً فى موضوع غير قابل للتجزئة أو فى إلتزام بالتضامن فأتاح له سبيل الطعن فى الحكم منضماً لزميله الطعن فى الميعاد ، و لو كان قد سبق له قبول الحكم ، أو لم يطعن عليه فى الميعاد ، إلا أن إحجام أحد المحكوم عليهم عن إستعمال هذه الرخصة لا يؤثر فى شكل الطعن ، و لكن يخول للمحكمة الحق فى أمر الطاعن بإختصام زميله المحكوم عليه معه فى موضوع غير قابل للتجزئة أو فى إلتزام بالتضامن . و لم يرتب قانون المرافعات جزاء ما على إغفال المحكمة إصدار أمر للطاعن بإختصام زميله المحكوم عليه ، و من ثم فان إحجام أحد المحكوم عليهم بالتضامن أو فى موضوع غير قابل للتجزئة عن التدخل فى الطعن المقام من زميله فى الميعاد ، و سكوت المحكمة عن إصدار أمرها بإختصامه لا يوثر فى شكل الطعن.   </w:t>
      </w:r>
    </w:p>
    <w:p w:rsidR="00682DC8" w:rsidRPr="00682DC8" w:rsidRDefault="00682DC8" w:rsidP="00682DC8">
      <w:pPr>
        <w:spacing w:after="0" w:line="240" w:lineRule="auto"/>
        <w:jc w:val="lowKashida"/>
        <w:rPr>
          <w:rFonts w:ascii="Times New Roman" w:eastAsia="Times New Roman" w:hAnsi="Times New Roman" w:cs="Simplified Arabic"/>
          <w:sz w:val="28"/>
          <w:szCs w:val="28"/>
          <w:rtl/>
        </w:rPr>
      </w:pPr>
      <w:r w:rsidRPr="00682DC8">
        <w:rPr>
          <w:rFonts w:ascii="Simplified Arabic" w:eastAsia="Times New Roman" w:hAnsi="Simplified Arabic" w:cs="Simplified Arabic"/>
          <w:sz w:val="28"/>
          <w:szCs w:val="28"/>
          <w:rtl/>
        </w:rPr>
        <w:t xml:space="preserve">  </w:t>
      </w:r>
    </w:p>
    <w:p w:rsidR="00682DC8" w:rsidRPr="00682DC8" w:rsidRDefault="00682DC8" w:rsidP="00682DC8">
      <w:pPr>
        <w:spacing w:after="0" w:line="240" w:lineRule="auto"/>
        <w:jc w:val="lowKashida"/>
        <w:rPr>
          <w:rFonts w:ascii="Times New Roman" w:eastAsia="Times New Roman" w:hAnsi="Times New Roman" w:cs="Simplified Arabic"/>
          <w:sz w:val="28"/>
          <w:szCs w:val="28"/>
        </w:rPr>
      </w:pPr>
      <w:r w:rsidRPr="00682DC8">
        <w:rPr>
          <w:rFonts w:ascii="Simplified Arabic" w:eastAsia="Times New Roman" w:hAnsi="Simplified Arabic" w:cs="Simplified Arabic"/>
          <w:sz w:val="28"/>
          <w:szCs w:val="28"/>
          <w:rtl/>
        </w:rPr>
        <w:lastRenderedPageBreak/>
        <w:t>2- إذ كان الثابت أن الطاعن قد طلب تقدير مقابل أتعابه عن مباشرته للدعوى التى رفعت عام 1960 و إنتهت بالشطب فى 1967-10-2 ، أى قبل سريان قانون المحاماة الجديد رقم 61 لسنة 1968 الذى عمل بأحكامة إعتباراً من 1968-11-13 ، فإن تقدير مقابل أتعاب الطاعن عن مباشرته للدعوى المذكورة إنما تحكمه نصوص قانون المحاماة السابق رقم 96 لسنة 1957 الذى خلت نصوصه من وضع حد أدنى أو أقصى لأتعاب المحامين ، و لا وجه للقول بأن المادة 114 من القانون رقم 61 لسنة 1968 تعتبر تشريعاً مفسراً للمادة 44 من قانون المحاماة السابق ذلك أن المادة 114 عندما نصت على حد أدنى و أقصى لأتعاب المحامى إنما أتت بحكم جديد لم يكن له وجود فى المادة 44 من قانون المحاماة السابق و من ثم فإن النعى على الحكم المطعون بمخالفة القانون لعدم إعمال نص المادة 114 من قانون المحاماة 61 لسنة 1968 يكون على غير أساس .</w:t>
      </w:r>
    </w:p>
    <w:p w:rsidR="00682DC8" w:rsidRPr="00682DC8" w:rsidRDefault="00682DC8" w:rsidP="00682DC8">
      <w:pPr>
        <w:spacing w:after="0" w:line="240" w:lineRule="auto"/>
        <w:jc w:val="lowKashida"/>
        <w:rPr>
          <w:rFonts w:ascii="Times New Roman" w:eastAsia="Times New Roman" w:hAnsi="Times New Roman" w:cs="Simplified Arabic"/>
          <w:sz w:val="28"/>
          <w:szCs w:val="28"/>
        </w:rPr>
      </w:pPr>
    </w:p>
    <w:p w:rsidR="00682DC8" w:rsidRPr="00682DC8" w:rsidRDefault="00682DC8" w:rsidP="00682DC8">
      <w:pPr>
        <w:spacing w:after="0" w:line="240" w:lineRule="auto"/>
        <w:jc w:val="center"/>
        <w:rPr>
          <w:rFonts w:ascii="Times New Roman" w:eastAsia="Times New Roman" w:hAnsi="Times New Roman" w:cs="Simplified Arabic"/>
          <w:sz w:val="24"/>
          <w:szCs w:val="24"/>
        </w:rPr>
      </w:pPr>
      <w:r w:rsidRPr="00682DC8">
        <w:rPr>
          <w:rFonts w:ascii="Simplified Arabic" w:eastAsia="Times New Roman" w:hAnsi="Simplified Arabic" w:cs="Simplified Arabic"/>
          <w:sz w:val="24"/>
          <w:szCs w:val="24"/>
          <w:rtl/>
        </w:rPr>
        <w:t>" سنة المكتب الفنى "  30 " رقم الصفحة - 759  -  قاعدة رقم –   -  "</w:t>
      </w:r>
    </w:p>
    <w:p w:rsidR="00682DC8" w:rsidRPr="00682DC8" w:rsidRDefault="00682DC8" w:rsidP="00682DC8">
      <w:pPr>
        <w:spacing w:after="0" w:line="240" w:lineRule="auto"/>
        <w:rPr>
          <w:rFonts w:ascii="Times New Roman" w:eastAsia="Times New Roman" w:hAnsi="Times New Roman" w:cs="Times New Roman"/>
          <w:sz w:val="24"/>
          <w:szCs w:val="24"/>
        </w:rPr>
      </w:pPr>
    </w:p>
    <w:p w:rsidR="006173AA" w:rsidRPr="00682DC8" w:rsidRDefault="006173AA">
      <w:bookmarkStart w:id="0" w:name="_GoBack"/>
      <w:bookmarkEnd w:id="0"/>
    </w:p>
    <w:sectPr w:rsidR="006173AA" w:rsidRPr="00682DC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27F"/>
    <w:rsid w:val="0003272B"/>
    <w:rsid w:val="0020527F"/>
    <w:rsid w:val="006173AA"/>
    <w:rsid w:val="0068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2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2020-06-08T09:43:00Z</dcterms:created>
  <dcterms:modified xsi:type="dcterms:W3CDTF">2020-06-08T09:43:00Z</dcterms:modified>
</cp:coreProperties>
</file>