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13" w:rsidRPr="00061113" w:rsidRDefault="00061113" w:rsidP="00061113">
      <w:pPr>
        <w:spacing w:after="0" w:line="240" w:lineRule="auto"/>
        <w:jc w:val="center"/>
        <w:rPr>
          <w:rFonts w:ascii="Times New Roman" w:eastAsia="Times New Roman" w:hAnsi="Times New Roman" w:cs="PT Bold Heading"/>
          <w:b/>
          <w:bCs/>
          <w:color w:val="008000"/>
          <w:sz w:val="32"/>
          <w:szCs w:val="32"/>
          <w:lang w:eastAsia="ar-SA"/>
        </w:rPr>
      </w:pPr>
      <w:r w:rsidRPr="00061113">
        <w:rPr>
          <w:rFonts w:ascii="Times New Roman" w:eastAsia="Times New Roman" w:hAnsi="Times New Roman" w:cs="PT Bold Heading" w:hint="cs"/>
          <w:b/>
          <w:bCs/>
          <w:color w:val="008000"/>
          <w:sz w:val="32"/>
          <w:szCs w:val="32"/>
          <w:rtl/>
          <w:lang w:eastAsia="ar-SA"/>
        </w:rPr>
        <w:t xml:space="preserve">الطعن رقم 296 لسنة 49 ق </w:t>
      </w:r>
      <w:r w:rsidRPr="00061113">
        <w:rPr>
          <w:rFonts w:ascii="Times New Roman" w:eastAsia="Times New Roman" w:hAnsi="Times New Roman" w:cs="Times New Roman" w:hint="cs"/>
          <w:b/>
          <w:bCs/>
          <w:color w:val="008000"/>
          <w:sz w:val="32"/>
          <w:szCs w:val="32"/>
          <w:rtl/>
          <w:lang w:eastAsia="ar-SA"/>
        </w:rPr>
        <w:t>-</w:t>
      </w:r>
      <w:r w:rsidRPr="00061113">
        <w:rPr>
          <w:rFonts w:ascii="Times New Roman" w:eastAsia="Times New Roman" w:hAnsi="Times New Roman" w:cs="PT Bold Heading" w:hint="cs"/>
          <w:b/>
          <w:bCs/>
          <w:color w:val="008000"/>
          <w:sz w:val="32"/>
          <w:szCs w:val="32"/>
          <w:rtl/>
          <w:lang w:eastAsia="ar-SA"/>
        </w:rPr>
        <w:t xml:space="preserve"> جلسة 28-11-1979</w:t>
      </w:r>
    </w:p>
    <w:p w:rsidR="00061113" w:rsidRPr="00061113" w:rsidRDefault="00061113" w:rsidP="00061113">
      <w:pPr>
        <w:spacing w:after="0" w:line="240" w:lineRule="auto"/>
        <w:jc w:val="center"/>
        <w:rPr>
          <w:rFonts w:ascii="Times New Roman" w:eastAsia="Times New Roman" w:hAnsi="Times New Roman" w:cs="PT Bold Heading"/>
          <w:b/>
          <w:bCs/>
          <w:color w:val="008000"/>
          <w:sz w:val="32"/>
          <w:szCs w:val="32"/>
          <w:lang w:eastAsia="ar-SA"/>
        </w:rPr>
      </w:pPr>
      <w:r w:rsidRPr="00061113">
        <w:rPr>
          <w:rFonts w:ascii="Times New Roman" w:eastAsia="Times New Roman" w:hAnsi="Times New Roman" w:cs="PT Bold Heading" w:hint="cs"/>
          <w:b/>
          <w:bCs/>
          <w:color w:val="008000"/>
          <w:sz w:val="32"/>
          <w:szCs w:val="32"/>
          <w:rtl/>
          <w:lang w:eastAsia="ar-SA"/>
        </w:rPr>
        <w:t>الموضوع ،  و  الموجز :</w:t>
      </w:r>
    </w:p>
    <w:p w:rsidR="00061113" w:rsidRPr="00061113" w:rsidRDefault="00061113" w:rsidP="00061113">
      <w:pPr>
        <w:spacing w:after="0" w:line="240" w:lineRule="auto"/>
        <w:jc w:val="lowKashida"/>
        <w:rPr>
          <w:rFonts w:ascii="Times New Roman" w:eastAsia="Times New Roman" w:hAnsi="Times New Roman" w:cs="Simplified Arabic"/>
          <w:b/>
          <w:bCs/>
          <w:sz w:val="32"/>
          <w:szCs w:val="32"/>
        </w:rPr>
      </w:pPr>
    </w:p>
    <w:p w:rsidR="00061113" w:rsidRPr="00061113" w:rsidRDefault="00061113" w:rsidP="00061113">
      <w:pPr>
        <w:spacing w:after="0" w:line="240" w:lineRule="auto"/>
        <w:jc w:val="lowKashida"/>
        <w:rPr>
          <w:rFonts w:ascii="Times New Roman" w:eastAsia="Times New Roman" w:hAnsi="Times New Roman" w:cs="Simplified Arabic"/>
          <w:b/>
          <w:bCs/>
          <w:sz w:val="28"/>
          <w:szCs w:val="28"/>
        </w:rPr>
      </w:pPr>
      <w:r w:rsidRPr="00061113">
        <w:rPr>
          <w:rFonts w:ascii="Simplified Arabic" w:eastAsia="Times New Roman" w:hAnsi="Simplified Arabic" w:cs="Simplified Arabic"/>
          <w:b/>
          <w:bCs/>
          <w:sz w:val="32"/>
          <w:szCs w:val="32"/>
          <w:rtl/>
        </w:rPr>
        <w:t xml:space="preserve">(1) </w:t>
      </w:r>
      <w:r w:rsidRPr="00061113">
        <w:rPr>
          <w:rFonts w:ascii="Simplified Arabic" w:eastAsia="Times New Roman" w:hAnsi="Simplified Arabic" w:cs="Simplified Arabic"/>
          <w:b/>
          <w:bCs/>
          <w:sz w:val="28"/>
          <w:szCs w:val="24"/>
          <w:rtl/>
        </w:rPr>
        <w:t xml:space="preserve">   </w:t>
      </w:r>
      <w:r w:rsidRPr="00061113">
        <w:rPr>
          <w:rFonts w:ascii="Simplified Arabic" w:eastAsia="Times New Roman" w:hAnsi="Simplified Arabic" w:cs="Simplified Arabic"/>
          <w:b/>
          <w:bCs/>
          <w:sz w:val="28"/>
          <w:szCs w:val="28"/>
          <w:rtl/>
        </w:rPr>
        <w:t xml:space="preserve"> أحوال شخصية</w:t>
      </w:r>
    </w:p>
    <w:p w:rsidR="00061113" w:rsidRPr="00061113" w:rsidRDefault="00061113" w:rsidP="00061113">
      <w:pPr>
        <w:spacing w:after="0" w:line="240" w:lineRule="auto"/>
        <w:jc w:val="lowKashida"/>
        <w:rPr>
          <w:rFonts w:ascii="Times New Roman" w:eastAsia="Times New Roman" w:hAnsi="Times New Roman" w:cs="Simplified Arabic"/>
          <w:sz w:val="28"/>
          <w:szCs w:val="28"/>
        </w:rPr>
      </w:pPr>
      <w:r w:rsidRPr="00061113">
        <w:rPr>
          <w:rFonts w:ascii="Times New Roman" w:eastAsia="Times New Roman" w:hAnsi="Times New Roman" w:cs="Simplified Arabic"/>
          <w:sz w:val="28"/>
          <w:szCs w:val="28"/>
        </w:rPr>
        <w:t>-</w:t>
      </w:r>
      <w:r w:rsidRPr="00061113">
        <w:rPr>
          <w:rFonts w:ascii="Simplified Arabic" w:eastAsia="Times New Roman" w:hAnsi="Simplified Arabic" w:cs="Simplified Arabic"/>
          <w:sz w:val="28"/>
          <w:szCs w:val="28"/>
          <w:rtl/>
        </w:rPr>
        <w:t xml:space="preserve"> دعوي تثبيت </w:t>
      </w:r>
      <w:proofErr w:type="gramStart"/>
      <w:r w:rsidRPr="00061113">
        <w:rPr>
          <w:rFonts w:ascii="Simplified Arabic" w:eastAsia="Times New Roman" w:hAnsi="Simplified Arabic" w:cs="Simplified Arabic"/>
          <w:sz w:val="28"/>
          <w:szCs w:val="28"/>
          <w:rtl/>
        </w:rPr>
        <w:t>ملكية .</w:t>
      </w:r>
      <w:proofErr w:type="gramEnd"/>
      <w:r w:rsidRPr="00061113">
        <w:rPr>
          <w:rFonts w:ascii="Simplified Arabic" w:eastAsia="Times New Roman" w:hAnsi="Simplified Arabic" w:cs="Simplified Arabic"/>
          <w:sz w:val="28"/>
          <w:szCs w:val="28"/>
          <w:rtl/>
        </w:rPr>
        <w:t xml:space="preserve"> فصل المحكمة في المنازعة بشأن صفة الخصوم كورثة وصحة الوصية الصادرة من المورثة . مسائل متعلقة بالأحوال الشخصية . عدم تدخل النيابة في الدعوي . أثره . بطلان الحكم .</w:t>
      </w:r>
    </w:p>
    <w:p w:rsidR="00061113" w:rsidRPr="00061113" w:rsidRDefault="00061113" w:rsidP="00061113">
      <w:pPr>
        <w:spacing w:after="0" w:line="240" w:lineRule="auto"/>
        <w:jc w:val="lowKashida"/>
        <w:rPr>
          <w:rFonts w:ascii="Times New Roman" w:eastAsia="Times New Roman" w:hAnsi="Times New Roman" w:cs="Simplified Arabic"/>
          <w:b/>
          <w:bCs/>
          <w:sz w:val="28"/>
          <w:szCs w:val="24"/>
        </w:rPr>
      </w:pPr>
    </w:p>
    <w:p w:rsidR="00061113" w:rsidRPr="00061113" w:rsidRDefault="00061113" w:rsidP="00061113">
      <w:pPr>
        <w:spacing w:after="0" w:line="240" w:lineRule="auto"/>
        <w:jc w:val="lowKashida"/>
        <w:rPr>
          <w:rFonts w:ascii="Simplified Arabic" w:eastAsia="Times New Roman" w:hAnsi="Simplified Arabic" w:cs="Simplified Arabic"/>
          <w:b/>
          <w:bCs/>
          <w:sz w:val="28"/>
          <w:szCs w:val="24"/>
        </w:rPr>
      </w:pPr>
    </w:p>
    <w:p w:rsidR="00061113" w:rsidRPr="00061113" w:rsidRDefault="00061113" w:rsidP="00061113">
      <w:pPr>
        <w:spacing w:after="0" w:line="240" w:lineRule="auto"/>
        <w:jc w:val="center"/>
        <w:rPr>
          <w:rFonts w:ascii="Times New Roman" w:eastAsia="Times New Roman" w:hAnsi="Times New Roman" w:cs="PT Bold Heading"/>
          <w:b/>
          <w:bCs/>
          <w:color w:val="008000"/>
          <w:sz w:val="32"/>
          <w:szCs w:val="32"/>
          <w:rtl/>
          <w:lang w:eastAsia="ar-SA"/>
        </w:rPr>
      </w:pPr>
      <w:r w:rsidRPr="00061113">
        <w:rPr>
          <w:rFonts w:ascii="Times New Roman" w:eastAsia="Times New Roman" w:hAnsi="Times New Roman" w:cs="PT Bold Heading" w:hint="cs"/>
          <w:b/>
          <w:bCs/>
          <w:color w:val="008000"/>
          <w:sz w:val="32"/>
          <w:szCs w:val="32"/>
          <w:rtl/>
          <w:lang w:eastAsia="ar-SA"/>
        </w:rPr>
        <w:t>القاعدة</w:t>
      </w:r>
    </w:p>
    <w:p w:rsidR="00061113" w:rsidRPr="00061113" w:rsidRDefault="00061113" w:rsidP="00061113">
      <w:pPr>
        <w:spacing w:after="0" w:line="240" w:lineRule="auto"/>
        <w:jc w:val="lowKashida"/>
        <w:rPr>
          <w:rFonts w:ascii="Times New Roman" w:eastAsia="Times New Roman" w:hAnsi="Times New Roman" w:cs="Simplified Arabic"/>
          <w:sz w:val="28"/>
          <w:szCs w:val="28"/>
        </w:rPr>
      </w:pPr>
      <w:r w:rsidRPr="00061113">
        <w:rPr>
          <w:rFonts w:ascii="Simplified Arabic" w:eastAsia="Times New Roman" w:hAnsi="Simplified Arabic" w:cs="Simplified Arabic"/>
          <w:sz w:val="28"/>
          <w:szCs w:val="28"/>
          <w:rtl/>
        </w:rPr>
        <w:t>1- إعمالاً لنص المادة الأولى من القانون 628 لسنة 1955 بشأن بعض الإجراءات فى قضايا الأحوال الشخصية و الوقف و المادة 3-88 من قانون المرافعات - و على ما جرى به قضاء هذه المحكمة - كلما كانت القضية تتعلق بالأحوال الشخصية ، مما تختص بنظرها المحاكم الإبتدائية طبقاً للقانون 462 لسنة 1959 الخاص بإلغاء المحاكم الشرعية و الملية فإن تدخل النيابة العامة يكون واجباً عند نظر النزاع و إلا كان الحكم الصادر فيه باطلاً يستوى فى ذلك أن تكون الدعوى أصلاً من دعاوى الأحوال الشخصية التى تختص بها المحاكم الابتدائية أو أن تكون قد رفعت بإعتبارها دعوى مدنية أثيرت فيها مسألة تتعلق بالأحوال الشخصية ، و لئن كانت الدعوى الراهنة مدنية بطلب تثبيت ملكية إلا أن البين من الحكم المطعون فيه أن نزاعاً دار بين الطرفين حول إعلام للوراثة و صفة المطعون ضدهم كورثة و صحة الوصية الصادر من المورث و هى من المسائل التى تتعلق بالأحوال الشخصية ناقشها الحكم و فصل فيها مما كان يتعين فيه أن تتدخل النيابة العامة فى الدعوى لإبداء رأيها فيها حتى و لو كانت منظورة أمام الدائرة  المدنية ، و إذ كان الثابت أنها لم تتدخل إلى أن صدر الحكم المطعون فيه ، فإن هذا الحكم يكون باطلاً بما يوجب نقضه لهذا السبب .</w:t>
      </w:r>
    </w:p>
    <w:p w:rsidR="00061113" w:rsidRPr="00061113" w:rsidRDefault="00061113" w:rsidP="00061113">
      <w:pPr>
        <w:spacing w:after="0" w:line="240" w:lineRule="auto"/>
        <w:jc w:val="lowKashida"/>
        <w:rPr>
          <w:rFonts w:ascii="Times New Roman" w:eastAsia="Times New Roman" w:hAnsi="Times New Roman" w:cs="Simplified Arabic"/>
          <w:sz w:val="28"/>
          <w:szCs w:val="28"/>
        </w:rPr>
      </w:pPr>
    </w:p>
    <w:p w:rsidR="00061113" w:rsidRPr="00061113" w:rsidRDefault="00061113" w:rsidP="00061113">
      <w:pPr>
        <w:spacing w:after="0" w:line="240" w:lineRule="auto"/>
        <w:jc w:val="center"/>
        <w:rPr>
          <w:rFonts w:ascii="Times New Roman" w:eastAsia="Times New Roman" w:hAnsi="Times New Roman" w:cs="Simplified Arabic"/>
          <w:sz w:val="24"/>
          <w:szCs w:val="24"/>
        </w:rPr>
      </w:pPr>
      <w:r w:rsidRPr="00061113">
        <w:rPr>
          <w:rFonts w:ascii="Simplified Arabic" w:eastAsia="Times New Roman" w:hAnsi="Simplified Arabic" w:cs="Simplified Arabic"/>
          <w:sz w:val="24"/>
          <w:szCs w:val="24"/>
          <w:rtl/>
        </w:rPr>
        <w:t>" سنة المكتب الفنى "  30 " رقم الصفحة -  99 -  قاعدة رقم –   -  "</w:t>
      </w:r>
    </w:p>
    <w:p w:rsidR="00061113" w:rsidRPr="00061113" w:rsidRDefault="00061113" w:rsidP="00061113">
      <w:pPr>
        <w:spacing w:after="0" w:line="240" w:lineRule="auto"/>
        <w:jc w:val="lowKashida"/>
        <w:rPr>
          <w:rFonts w:ascii="Simplified Arabic" w:eastAsia="Times New Roman" w:hAnsi="Simplified Arabic" w:cs="Simplified Arabic"/>
          <w:sz w:val="28"/>
          <w:szCs w:val="28"/>
        </w:rPr>
      </w:pPr>
    </w:p>
    <w:p w:rsidR="00061113" w:rsidRPr="00061113" w:rsidRDefault="00061113" w:rsidP="00061113">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94"/>
    <w:rsid w:val="0003272B"/>
    <w:rsid w:val="00061113"/>
    <w:rsid w:val="006173AA"/>
    <w:rsid w:val="00AB4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2020-06-08T09:52:00Z</dcterms:created>
  <dcterms:modified xsi:type="dcterms:W3CDTF">2020-06-08T09:52:00Z</dcterms:modified>
</cp:coreProperties>
</file>