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6B" w:rsidRPr="00B31F6B" w:rsidRDefault="00B31F6B" w:rsidP="00B31F6B">
      <w:pPr>
        <w:spacing w:after="0" w:line="240" w:lineRule="auto"/>
        <w:jc w:val="center"/>
        <w:rPr>
          <w:rFonts w:ascii="Times New Roman" w:eastAsia="Times New Roman" w:hAnsi="Times New Roman" w:cs="PT Bold Heading"/>
          <w:b/>
          <w:bCs/>
          <w:color w:val="008000"/>
          <w:sz w:val="32"/>
          <w:szCs w:val="32"/>
          <w:lang w:eastAsia="ar-SA"/>
        </w:rPr>
      </w:pPr>
      <w:r w:rsidRPr="00B31F6B">
        <w:rPr>
          <w:rFonts w:ascii="Times New Roman" w:eastAsia="Times New Roman" w:hAnsi="Times New Roman" w:cs="PT Bold Heading" w:hint="cs"/>
          <w:b/>
          <w:bCs/>
          <w:color w:val="008000"/>
          <w:sz w:val="32"/>
          <w:szCs w:val="32"/>
          <w:rtl/>
          <w:lang w:eastAsia="ar-SA"/>
        </w:rPr>
        <w:t xml:space="preserve">الطعن رقم 207 لسنة 49 ق </w:t>
      </w:r>
      <w:r w:rsidRPr="00B31F6B">
        <w:rPr>
          <w:rFonts w:ascii="Times New Roman" w:eastAsia="Times New Roman" w:hAnsi="Times New Roman" w:cs="Times New Roman" w:hint="cs"/>
          <w:b/>
          <w:bCs/>
          <w:color w:val="008000"/>
          <w:sz w:val="32"/>
          <w:szCs w:val="32"/>
          <w:rtl/>
          <w:lang w:eastAsia="ar-SA"/>
        </w:rPr>
        <w:t>-</w:t>
      </w:r>
      <w:r w:rsidRPr="00B31F6B">
        <w:rPr>
          <w:rFonts w:ascii="Times New Roman" w:eastAsia="Times New Roman" w:hAnsi="Times New Roman" w:cs="PT Bold Heading" w:hint="cs"/>
          <w:b/>
          <w:bCs/>
          <w:color w:val="008000"/>
          <w:sz w:val="32"/>
          <w:szCs w:val="32"/>
          <w:rtl/>
          <w:lang w:eastAsia="ar-SA"/>
        </w:rPr>
        <w:t xml:space="preserve"> جلسة 22-12-1979</w:t>
      </w:r>
    </w:p>
    <w:p w:rsidR="00B31F6B" w:rsidRPr="00B31F6B" w:rsidRDefault="00B31F6B" w:rsidP="00B31F6B">
      <w:pPr>
        <w:spacing w:after="0" w:line="240" w:lineRule="auto"/>
        <w:jc w:val="center"/>
        <w:rPr>
          <w:rFonts w:ascii="Times New Roman" w:eastAsia="Times New Roman" w:hAnsi="Times New Roman" w:cs="PT Bold Heading"/>
          <w:b/>
          <w:bCs/>
          <w:color w:val="008000"/>
          <w:sz w:val="32"/>
          <w:szCs w:val="32"/>
          <w:lang w:eastAsia="ar-SA"/>
        </w:rPr>
      </w:pPr>
      <w:r w:rsidRPr="00B31F6B">
        <w:rPr>
          <w:rFonts w:ascii="Times New Roman" w:eastAsia="Times New Roman" w:hAnsi="Times New Roman" w:cs="PT Bold Heading" w:hint="cs"/>
          <w:b/>
          <w:bCs/>
          <w:color w:val="008000"/>
          <w:sz w:val="32"/>
          <w:szCs w:val="32"/>
          <w:rtl/>
          <w:lang w:eastAsia="ar-SA"/>
        </w:rPr>
        <w:t>الموضوع ،  و  الموجز :</w:t>
      </w:r>
    </w:p>
    <w:p w:rsidR="00B31F6B" w:rsidRPr="00B31F6B" w:rsidRDefault="00B31F6B" w:rsidP="00B31F6B">
      <w:pPr>
        <w:spacing w:after="0" w:line="240" w:lineRule="auto"/>
        <w:jc w:val="lowKashida"/>
        <w:rPr>
          <w:rFonts w:ascii="Times New Roman" w:eastAsia="Times New Roman" w:hAnsi="Times New Roman" w:cs="Simplified Arabic"/>
          <w:b/>
          <w:bCs/>
          <w:sz w:val="32"/>
          <w:szCs w:val="32"/>
        </w:rPr>
      </w:pPr>
    </w:p>
    <w:p w:rsidR="00B31F6B" w:rsidRPr="00B31F6B" w:rsidRDefault="00B31F6B" w:rsidP="00B31F6B">
      <w:pPr>
        <w:spacing w:after="0" w:line="240" w:lineRule="auto"/>
        <w:jc w:val="lowKashida"/>
        <w:rPr>
          <w:rFonts w:ascii="Times New Roman" w:eastAsia="Times New Roman" w:hAnsi="Times New Roman" w:cs="Simplified Arabic"/>
          <w:b/>
          <w:bCs/>
          <w:sz w:val="28"/>
          <w:szCs w:val="28"/>
        </w:rPr>
      </w:pPr>
      <w:r w:rsidRPr="00B31F6B">
        <w:rPr>
          <w:rFonts w:ascii="Simplified Arabic" w:eastAsia="Times New Roman" w:hAnsi="Simplified Arabic" w:cs="Simplified Arabic"/>
          <w:b/>
          <w:bCs/>
          <w:sz w:val="32"/>
          <w:szCs w:val="32"/>
          <w:rtl/>
        </w:rPr>
        <w:t xml:space="preserve">(1) </w:t>
      </w:r>
      <w:r w:rsidRPr="00B31F6B">
        <w:rPr>
          <w:rFonts w:ascii="Simplified Arabic" w:eastAsia="Times New Roman" w:hAnsi="Simplified Arabic" w:cs="Simplified Arabic"/>
          <w:b/>
          <w:bCs/>
          <w:sz w:val="28"/>
          <w:szCs w:val="24"/>
          <w:rtl/>
        </w:rPr>
        <w:t xml:space="preserve">   </w:t>
      </w:r>
      <w:r w:rsidRPr="00B31F6B">
        <w:rPr>
          <w:rFonts w:ascii="Simplified Arabic" w:eastAsia="Times New Roman" w:hAnsi="Simplified Arabic" w:cs="Simplified Arabic"/>
          <w:b/>
          <w:bCs/>
          <w:sz w:val="28"/>
          <w:szCs w:val="28"/>
          <w:rtl/>
        </w:rPr>
        <w:t xml:space="preserve"> إيجار</w:t>
      </w:r>
    </w:p>
    <w:p w:rsidR="00B31F6B" w:rsidRPr="00B31F6B" w:rsidRDefault="00B31F6B" w:rsidP="00B31F6B">
      <w:pPr>
        <w:spacing w:after="0" w:line="240" w:lineRule="auto"/>
        <w:jc w:val="lowKashida"/>
        <w:rPr>
          <w:rFonts w:ascii="Times New Roman" w:eastAsia="Times New Roman" w:hAnsi="Times New Roman" w:cs="Simplified Arabic"/>
          <w:sz w:val="28"/>
          <w:szCs w:val="28"/>
        </w:rPr>
      </w:pPr>
      <w:r w:rsidRPr="00B31F6B">
        <w:rPr>
          <w:rFonts w:ascii="Times New Roman" w:eastAsia="Times New Roman" w:hAnsi="Times New Roman" w:cs="Simplified Arabic"/>
          <w:sz w:val="28"/>
          <w:szCs w:val="28"/>
        </w:rPr>
        <w:t>-</w:t>
      </w:r>
      <w:r w:rsidRPr="00B31F6B">
        <w:rPr>
          <w:rFonts w:ascii="Simplified Arabic" w:eastAsia="Times New Roman" w:hAnsi="Simplified Arabic" w:cs="Simplified Arabic"/>
          <w:sz w:val="28"/>
          <w:szCs w:val="28"/>
          <w:rtl/>
        </w:rPr>
        <w:t xml:space="preserve"> تجاوز الوكيل حدود </w:t>
      </w:r>
      <w:proofErr w:type="gramStart"/>
      <w:r w:rsidRPr="00B31F6B">
        <w:rPr>
          <w:rFonts w:ascii="Simplified Arabic" w:eastAsia="Times New Roman" w:hAnsi="Simplified Arabic" w:cs="Simplified Arabic"/>
          <w:sz w:val="28"/>
          <w:szCs w:val="28"/>
          <w:rtl/>
        </w:rPr>
        <w:t>الوكالة .</w:t>
      </w:r>
      <w:proofErr w:type="gramEnd"/>
      <w:r w:rsidRPr="00B31F6B">
        <w:rPr>
          <w:rFonts w:ascii="Simplified Arabic" w:eastAsia="Times New Roman" w:hAnsi="Simplified Arabic" w:cs="Simplified Arabic"/>
          <w:sz w:val="28"/>
          <w:szCs w:val="28"/>
          <w:rtl/>
        </w:rPr>
        <w:t xml:space="preserve"> الموكل هو الذي يملك التمسك بتجاوز الوكيل لحدود الوكالة ـ مثال بشأن التنازل عن الايجار</w:t>
      </w:r>
    </w:p>
    <w:p w:rsidR="00B31F6B" w:rsidRPr="00B31F6B" w:rsidRDefault="00B31F6B" w:rsidP="00B31F6B">
      <w:pPr>
        <w:spacing w:after="0" w:line="240" w:lineRule="auto"/>
        <w:jc w:val="lowKashida"/>
        <w:rPr>
          <w:rFonts w:ascii="Times New Roman" w:eastAsia="Times New Roman" w:hAnsi="Times New Roman" w:cs="Simplified Arabic"/>
          <w:b/>
          <w:bCs/>
          <w:sz w:val="28"/>
          <w:szCs w:val="24"/>
        </w:rPr>
      </w:pPr>
    </w:p>
    <w:p w:rsidR="00B31F6B" w:rsidRPr="00B31F6B" w:rsidRDefault="00B31F6B" w:rsidP="00B31F6B">
      <w:pPr>
        <w:spacing w:after="0" w:line="240" w:lineRule="auto"/>
        <w:jc w:val="lowKashida"/>
        <w:rPr>
          <w:rFonts w:ascii="Times New Roman" w:eastAsia="Times New Roman" w:hAnsi="Times New Roman" w:cs="Simplified Arabic"/>
          <w:b/>
          <w:bCs/>
          <w:sz w:val="28"/>
          <w:szCs w:val="24"/>
        </w:rPr>
      </w:pPr>
      <w:r w:rsidRPr="00B31F6B">
        <w:rPr>
          <w:rFonts w:ascii="Simplified Arabic" w:eastAsia="Times New Roman" w:hAnsi="Simplified Arabic" w:cs="Simplified Arabic"/>
          <w:b/>
          <w:bCs/>
          <w:sz w:val="32"/>
          <w:szCs w:val="32"/>
          <w:rtl/>
        </w:rPr>
        <w:t xml:space="preserve">(2) </w:t>
      </w:r>
      <w:r w:rsidRPr="00B31F6B">
        <w:rPr>
          <w:rFonts w:ascii="Simplified Arabic" w:eastAsia="Times New Roman" w:hAnsi="Simplified Arabic" w:cs="Simplified Arabic"/>
          <w:b/>
          <w:bCs/>
          <w:sz w:val="28"/>
          <w:szCs w:val="24"/>
          <w:rtl/>
        </w:rPr>
        <w:t xml:space="preserve">    </w:t>
      </w:r>
      <w:r w:rsidRPr="00B31F6B">
        <w:rPr>
          <w:rFonts w:ascii="Simplified Arabic" w:eastAsia="Times New Roman" w:hAnsi="Simplified Arabic" w:cs="Simplified Arabic"/>
          <w:b/>
          <w:bCs/>
          <w:sz w:val="28"/>
          <w:szCs w:val="28"/>
          <w:rtl/>
        </w:rPr>
        <w:t>إثبات</w:t>
      </w:r>
    </w:p>
    <w:p w:rsidR="00B31F6B" w:rsidRPr="00B31F6B" w:rsidRDefault="00B31F6B" w:rsidP="00B31F6B">
      <w:pPr>
        <w:spacing w:after="0" w:line="240" w:lineRule="auto"/>
        <w:jc w:val="lowKashida"/>
        <w:rPr>
          <w:rFonts w:ascii="Times New Roman" w:eastAsia="Times New Roman" w:hAnsi="Times New Roman" w:cs="Simplified Arabic"/>
          <w:b/>
          <w:bCs/>
          <w:sz w:val="28"/>
          <w:szCs w:val="24"/>
        </w:rPr>
      </w:pPr>
    </w:p>
    <w:p w:rsidR="00B31F6B" w:rsidRPr="00B31F6B" w:rsidRDefault="00B31F6B" w:rsidP="00B31F6B">
      <w:pPr>
        <w:spacing w:after="0" w:line="240" w:lineRule="auto"/>
        <w:jc w:val="lowKashida"/>
        <w:rPr>
          <w:rFonts w:ascii="Simplified Arabic" w:eastAsia="Times New Roman" w:hAnsi="Simplified Arabic" w:cs="Simplified Arabic"/>
          <w:b/>
          <w:bCs/>
          <w:sz w:val="28"/>
          <w:szCs w:val="24"/>
        </w:rPr>
      </w:pPr>
    </w:p>
    <w:p w:rsidR="00B31F6B" w:rsidRPr="00B31F6B" w:rsidRDefault="00B31F6B" w:rsidP="00B31F6B">
      <w:pPr>
        <w:spacing w:after="0" w:line="240" w:lineRule="auto"/>
        <w:jc w:val="lowKashida"/>
        <w:rPr>
          <w:rFonts w:ascii="Simplified Arabic" w:eastAsia="Times New Roman" w:hAnsi="Simplified Arabic" w:cs="Simplified Arabic"/>
          <w:b/>
          <w:bCs/>
          <w:sz w:val="28"/>
          <w:szCs w:val="24"/>
          <w:rtl/>
        </w:rPr>
      </w:pPr>
    </w:p>
    <w:p w:rsidR="00B31F6B" w:rsidRPr="00B31F6B" w:rsidRDefault="00B31F6B" w:rsidP="00B31F6B">
      <w:pPr>
        <w:spacing w:after="0" w:line="240" w:lineRule="auto"/>
        <w:jc w:val="center"/>
        <w:rPr>
          <w:rFonts w:ascii="Times New Roman" w:eastAsia="Times New Roman" w:hAnsi="Times New Roman" w:cs="PT Bold Heading"/>
          <w:b/>
          <w:bCs/>
          <w:color w:val="008000"/>
          <w:sz w:val="32"/>
          <w:szCs w:val="32"/>
          <w:rtl/>
          <w:lang w:eastAsia="ar-SA"/>
        </w:rPr>
      </w:pPr>
      <w:r w:rsidRPr="00B31F6B">
        <w:rPr>
          <w:rFonts w:ascii="Times New Roman" w:eastAsia="Times New Roman" w:hAnsi="Times New Roman" w:cs="PT Bold Heading" w:hint="cs"/>
          <w:b/>
          <w:bCs/>
          <w:color w:val="008000"/>
          <w:sz w:val="32"/>
          <w:szCs w:val="32"/>
          <w:rtl/>
          <w:lang w:eastAsia="ar-SA"/>
        </w:rPr>
        <w:t>القاعدة</w:t>
      </w:r>
    </w:p>
    <w:p w:rsidR="00B31F6B" w:rsidRPr="00B31F6B" w:rsidRDefault="00B31F6B" w:rsidP="00B31F6B">
      <w:pPr>
        <w:spacing w:after="0" w:line="240" w:lineRule="auto"/>
        <w:jc w:val="lowKashida"/>
        <w:rPr>
          <w:rFonts w:ascii="Times New Roman" w:eastAsia="Times New Roman" w:hAnsi="Times New Roman" w:cs="Simplified Arabic"/>
          <w:sz w:val="28"/>
          <w:szCs w:val="28"/>
        </w:rPr>
      </w:pPr>
      <w:r w:rsidRPr="00B31F6B">
        <w:rPr>
          <w:rFonts w:ascii="Simplified Arabic" w:eastAsia="Times New Roman" w:hAnsi="Simplified Arabic" w:cs="Simplified Arabic"/>
          <w:sz w:val="28"/>
          <w:szCs w:val="28"/>
          <w:rtl/>
        </w:rPr>
        <w:t xml:space="preserve">1-من المقرر طبقاً للمادتين 699 ، 1-704 من القانون المدنى أن الوكالة هى عقد بمقتضاه يلتزم الوكيل بأن يقوم بعمل قانونى لحساب الموكل ، و أن الوكيل ملزم بتنفيذ الوكالة فى حدودها المرسومة فليس له أن يجاوزها فإذا جاوزها فإن العمل الذى يقوم به لا ينفذ فى حق الموكل ، إلا أن للموكل فى هذه الحالة أن يقر هذا العمل فإن أقره أصبح كأنه قد تم فى حدود الوكالة من وقت إجراء العمل لا من وقت الإقرار مما مفاده أن الموكل هو الذى يملك التمسك يتجاوز الوكيل لحدود الوكالة - لما كان ذلك - و كان الحكم المطعون فيه قد أقام قضاءه على سند من أن الوكيلتين عن المستأجرة الأصلية قد تجاوزتا حدود الوكالة الصادرة إليهما حين تنازلتا عن شقة النزاع للطاعن على الرغم من أن الموكلة لم تتمسك بهذا التجاوز فإنه يكون قد أخطأ فى تطبيقه القانون . </w:t>
      </w:r>
    </w:p>
    <w:p w:rsidR="00B31F6B" w:rsidRPr="00B31F6B" w:rsidRDefault="00B31F6B" w:rsidP="00B31F6B">
      <w:pPr>
        <w:spacing w:after="0" w:line="240" w:lineRule="auto"/>
        <w:jc w:val="lowKashida"/>
        <w:rPr>
          <w:rFonts w:ascii="Times New Roman" w:eastAsia="Times New Roman" w:hAnsi="Times New Roman" w:cs="Simplified Arabic"/>
          <w:sz w:val="28"/>
          <w:szCs w:val="28"/>
        </w:rPr>
      </w:pPr>
    </w:p>
    <w:p w:rsidR="00B31F6B" w:rsidRPr="00B31F6B" w:rsidRDefault="00B31F6B" w:rsidP="00B31F6B">
      <w:pPr>
        <w:spacing w:after="0" w:line="240" w:lineRule="auto"/>
        <w:jc w:val="lowKashida"/>
        <w:rPr>
          <w:rFonts w:ascii="Times New Roman" w:eastAsia="Times New Roman" w:hAnsi="Times New Roman" w:cs="Simplified Arabic"/>
          <w:sz w:val="28"/>
          <w:szCs w:val="28"/>
        </w:rPr>
      </w:pPr>
      <w:r w:rsidRPr="00B31F6B">
        <w:rPr>
          <w:rFonts w:ascii="Simplified Arabic" w:eastAsia="Times New Roman" w:hAnsi="Simplified Arabic" w:cs="Simplified Arabic"/>
          <w:sz w:val="28"/>
          <w:szCs w:val="28"/>
          <w:rtl/>
        </w:rPr>
        <w:t>2- الإقرار القضائى طبقاً لنص المادة 103 من قانون الإثبات هو إعتراف الخصم أمام القضاء بواقعة قانونية مدعى بها أثناء السير فى الدعوى المتعلقة بهذه الواقعة بما ينبنى عليه إقالة خصمه من إقامة الدليل على تلك الواقعة و الأصل فى الإقرار أن يكون صريحاً فلا يجوز قبول الإقرار الضمنى ما لم يقم دليل يقينى على وجوده و مرماه .</w:t>
      </w:r>
    </w:p>
    <w:p w:rsidR="00B31F6B" w:rsidRPr="00B31F6B" w:rsidRDefault="00B31F6B" w:rsidP="00B31F6B">
      <w:pPr>
        <w:spacing w:after="0" w:line="240" w:lineRule="auto"/>
        <w:jc w:val="lowKashida"/>
        <w:rPr>
          <w:rFonts w:ascii="Times New Roman" w:eastAsia="Times New Roman" w:hAnsi="Times New Roman" w:cs="Simplified Arabic"/>
          <w:sz w:val="28"/>
          <w:szCs w:val="28"/>
        </w:rPr>
      </w:pPr>
    </w:p>
    <w:p w:rsidR="00B31F6B" w:rsidRPr="00B31F6B" w:rsidRDefault="00B31F6B" w:rsidP="00B31F6B">
      <w:pPr>
        <w:spacing w:after="0" w:line="240" w:lineRule="auto"/>
        <w:jc w:val="center"/>
        <w:rPr>
          <w:rFonts w:ascii="Times New Roman" w:eastAsia="Times New Roman" w:hAnsi="Times New Roman" w:cs="Simplified Arabic"/>
          <w:sz w:val="24"/>
          <w:szCs w:val="24"/>
        </w:rPr>
      </w:pPr>
      <w:r w:rsidRPr="00B31F6B">
        <w:rPr>
          <w:rFonts w:ascii="Simplified Arabic" w:eastAsia="Times New Roman" w:hAnsi="Simplified Arabic" w:cs="Simplified Arabic"/>
          <w:sz w:val="24"/>
          <w:szCs w:val="24"/>
          <w:rtl/>
        </w:rPr>
        <w:t>" سنة المكتب الفنى "  30 " رقم الصفحة - 361  -  قاعدة رقم –   -  "</w:t>
      </w:r>
    </w:p>
    <w:p w:rsidR="00B31F6B" w:rsidRPr="00B31F6B" w:rsidRDefault="00B31F6B" w:rsidP="00B31F6B">
      <w:pPr>
        <w:spacing w:after="0" w:line="240" w:lineRule="auto"/>
        <w:rPr>
          <w:rFonts w:ascii="Times New Roman" w:eastAsia="Times New Roman" w:hAnsi="Times New Roman" w:cs="Times New Roman"/>
          <w:sz w:val="24"/>
          <w:szCs w:val="24"/>
        </w:rPr>
      </w:pPr>
    </w:p>
    <w:p w:rsidR="006173AA" w:rsidRPr="00B31F6B" w:rsidRDefault="006173AA">
      <w:bookmarkStart w:id="0" w:name="_GoBack"/>
      <w:bookmarkEnd w:id="0"/>
    </w:p>
    <w:sectPr w:rsidR="006173AA" w:rsidRPr="00B31F6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12"/>
    <w:rsid w:val="0003272B"/>
    <w:rsid w:val="006173AA"/>
    <w:rsid w:val="00B31F6B"/>
    <w:rsid w:val="00F93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6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2020-06-08T10:07:00Z</dcterms:created>
  <dcterms:modified xsi:type="dcterms:W3CDTF">2020-06-08T10:07:00Z</dcterms:modified>
</cp:coreProperties>
</file>