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4E" w:rsidRPr="00922D4E" w:rsidRDefault="00922D4E" w:rsidP="00922D4E">
      <w:pPr>
        <w:spacing w:after="0" w:line="240" w:lineRule="auto"/>
        <w:jc w:val="center"/>
        <w:rPr>
          <w:rFonts w:ascii="Times New Roman" w:eastAsia="Times New Roman" w:hAnsi="Times New Roman" w:cs="PT Bold Heading"/>
          <w:b/>
          <w:bCs/>
          <w:color w:val="008000"/>
          <w:sz w:val="32"/>
          <w:szCs w:val="32"/>
          <w:lang w:eastAsia="ar-SA"/>
        </w:rPr>
      </w:pPr>
      <w:r w:rsidRPr="00922D4E">
        <w:rPr>
          <w:rFonts w:ascii="Times New Roman" w:eastAsia="Times New Roman" w:hAnsi="Times New Roman" w:cs="PT Bold Heading" w:hint="cs"/>
          <w:b/>
          <w:bCs/>
          <w:color w:val="008000"/>
          <w:sz w:val="32"/>
          <w:szCs w:val="32"/>
          <w:rtl/>
          <w:lang w:eastAsia="ar-SA"/>
        </w:rPr>
        <w:t xml:space="preserve">الطعن رقم 204 لسنة 45 ق </w:t>
      </w:r>
      <w:r w:rsidRPr="00922D4E">
        <w:rPr>
          <w:rFonts w:ascii="Times New Roman" w:eastAsia="Times New Roman" w:hAnsi="Times New Roman" w:cs="Times New Roman" w:hint="cs"/>
          <w:b/>
          <w:bCs/>
          <w:color w:val="008000"/>
          <w:sz w:val="32"/>
          <w:szCs w:val="32"/>
          <w:rtl/>
          <w:lang w:eastAsia="ar-SA"/>
        </w:rPr>
        <w:t>-</w:t>
      </w:r>
      <w:r w:rsidRPr="00922D4E">
        <w:rPr>
          <w:rFonts w:ascii="Times New Roman" w:eastAsia="Times New Roman" w:hAnsi="Times New Roman" w:cs="PT Bold Heading" w:hint="cs"/>
          <w:b/>
          <w:bCs/>
          <w:color w:val="008000"/>
          <w:sz w:val="32"/>
          <w:szCs w:val="32"/>
          <w:rtl/>
          <w:lang w:eastAsia="ar-SA"/>
        </w:rPr>
        <w:t xml:space="preserve"> جلسة 20-6-1979</w:t>
      </w:r>
    </w:p>
    <w:p w:rsidR="00922D4E" w:rsidRPr="00922D4E" w:rsidRDefault="00922D4E" w:rsidP="00922D4E">
      <w:pPr>
        <w:spacing w:after="0" w:line="240" w:lineRule="auto"/>
        <w:jc w:val="center"/>
        <w:rPr>
          <w:rFonts w:ascii="Times New Roman" w:eastAsia="Times New Roman" w:hAnsi="Times New Roman" w:cs="PT Bold Heading"/>
          <w:b/>
          <w:bCs/>
          <w:color w:val="008000"/>
          <w:sz w:val="32"/>
          <w:szCs w:val="32"/>
          <w:lang w:eastAsia="ar-SA"/>
        </w:rPr>
      </w:pPr>
      <w:r w:rsidRPr="00922D4E">
        <w:rPr>
          <w:rFonts w:ascii="Times New Roman" w:eastAsia="Times New Roman" w:hAnsi="Times New Roman" w:cs="PT Bold Heading" w:hint="cs"/>
          <w:b/>
          <w:bCs/>
          <w:color w:val="008000"/>
          <w:sz w:val="32"/>
          <w:szCs w:val="32"/>
          <w:rtl/>
          <w:lang w:eastAsia="ar-SA"/>
        </w:rPr>
        <w:t>الموضوع ،  و  الموجز :</w:t>
      </w:r>
    </w:p>
    <w:p w:rsidR="00922D4E" w:rsidRPr="00922D4E" w:rsidRDefault="00922D4E" w:rsidP="00922D4E">
      <w:pPr>
        <w:spacing w:after="0" w:line="240" w:lineRule="auto"/>
        <w:jc w:val="lowKashida"/>
        <w:rPr>
          <w:rFonts w:ascii="Times New Roman" w:eastAsia="Times New Roman" w:hAnsi="Times New Roman" w:cs="Simplified Arabic"/>
          <w:b/>
          <w:bCs/>
          <w:sz w:val="32"/>
          <w:szCs w:val="32"/>
        </w:rPr>
      </w:pPr>
    </w:p>
    <w:p w:rsidR="00922D4E" w:rsidRPr="00922D4E" w:rsidRDefault="00922D4E" w:rsidP="00922D4E">
      <w:pPr>
        <w:spacing w:after="0" w:line="240" w:lineRule="auto"/>
        <w:jc w:val="lowKashida"/>
        <w:rPr>
          <w:rFonts w:ascii="Times New Roman" w:eastAsia="Times New Roman" w:hAnsi="Times New Roman" w:cs="Simplified Arabic"/>
          <w:b/>
          <w:bCs/>
          <w:sz w:val="28"/>
          <w:szCs w:val="28"/>
        </w:rPr>
      </w:pPr>
      <w:r w:rsidRPr="00922D4E">
        <w:rPr>
          <w:rFonts w:ascii="Simplified Arabic" w:eastAsia="Times New Roman" w:hAnsi="Simplified Arabic" w:cs="Simplified Arabic"/>
          <w:b/>
          <w:bCs/>
          <w:sz w:val="32"/>
          <w:szCs w:val="32"/>
          <w:rtl/>
        </w:rPr>
        <w:t xml:space="preserve">(1) </w:t>
      </w:r>
      <w:r w:rsidRPr="00922D4E">
        <w:rPr>
          <w:rFonts w:ascii="Simplified Arabic" w:eastAsia="Times New Roman" w:hAnsi="Simplified Arabic" w:cs="Simplified Arabic"/>
          <w:b/>
          <w:bCs/>
          <w:sz w:val="28"/>
          <w:szCs w:val="24"/>
          <w:rtl/>
        </w:rPr>
        <w:t xml:space="preserve">   </w:t>
      </w:r>
      <w:r w:rsidRPr="00922D4E">
        <w:rPr>
          <w:rFonts w:ascii="Simplified Arabic" w:eastAsia="Times New Roman" w:hAnsi="Simplified Arabic" w:cs="Simplified Arabic"/>
          <w:b/>
          <w:bCs/>
          <w:sz w:val="28"/>
          <w:szCs w:val="28"/>
          <w:rtl/>
        </w:rPr>
        <w:t xml:space="preserve"> إيجار</w:t>
      </w:r>
    </w:p>
    <w:p w:rsidR="00922D4E" w:rsidRPr="00922D4E" w:rsidRDefault="00922D4E" w:rsidP="00922D4E">
      <w:pPr>
        <w:spacing w:after="0" w:line="240" w:lineRule="auto"/>
        <w:jc w:val="lowKashida"/>
        <w:rPr>
          <w:rFonts w:ascii="Simplified Arabic" w:eastAsia="Times New Roman" w:hAnsi="Simplified Arabic" w:cs="Simplified Arabic"/>
          <w:sz w:val="28"/>
          <w:szCs w:val="28"/>
        </w:rPr>
      </w:pPr>
      <w:r w:rsidRPr="00922D4E">
        <w:rPr>
          <w:rFonts w:ascii="Times New Roman" w:eastAsia="Times New Roman" w:hAnsi="Times New Roman" w:cs="Simplified Arabic"/>
          <w:sz w:val="28"/>
          <w:szCs w:val="28"/>
        </w:rPr>
        <w:t>-</w:t>
      </w:r>
      <w:r w:rsidRPr="00922D4E">
        <w:rPr>
          <w:rFonts w:ascii="Simplified Arabic" w:eastAsia="Times New Roman" w:hAnsi="Simplified Arabic" w:cs="Simplified Arabic"/>
          <w:sz w:val="28"/>
          <w:szCs w:val="28"/>
          <w:rtl/>
        </w:rPr>
        <w:t xml:space="preserve"> ملحقات العين </w:t>
      </w:r>
      <w:proofErr w:type="gramStart"/>
      <w:r w:rsidRPr="00922D4E">
        <w:rPr>
          <w:rFonts w:ascii="Simplified Arabic" w:eastAsia="Times New Roman" w:hAnsi="Simplified Arabic" w:cs="Simplified Arabic"/>
          <w:sz w:val="28"/>
          <w:szCs w:val="28"/>
          <w:rtl/>
        </w:rPr>
        <w:t>المؤجرة .</w:t>
      </w:r>
      <w:proofErr w:type="gramEnd"/>
      <w:r w:rsidRPr="00922D4E">
        <w:rPr>
          <w:rFonts w:ascii="Simplified Arabic" w:eastAsia="Times New Roman" w:hAnsi="Simplified Arabic" w:cs="Simplified Arabic"/>
          <w:sz w:val="28"/>
          <w:szCs w:val="28"/>
          <w:rtl/>
        </w:rPr>
        <w:t xml:space="preserve"> ماهيتها . إستقلال محكمة الموضوع بتحديدها الحكم باعتبار الحديقة من ملحقات العين وأن تخصيص أجرة لها لا يجعل لها كيانا مستقلا سائغ .</w:t>
      </w:r>
    </w:p>
    <w:p w:rsidR="00922D4E" w:rsidRPr="00922D4E" w:rsidRDefault="00922D4E" w:rsidP="00922D4E">
      <w:pPr>
        <w:spacing w:after="0" w:line="240" w:lineRule="auto"/>
        <w:jc w:val="lowKashida"/>
        <w:rPr>
          <w:rFonts w:ascii="Times New Roman" w:eastAsia="Times New Roman" w:hAnsi="Times New Roman" w:cs="Simplified Arabic"/>
          <w:b/>
          <w:bCs/>
          <w:sz w:val="28"/>
          <w:szCs w:val="24"/>
          <w:rtl/>
        </w:rPr>
      </w:pPr>
    </w:p>
    <w:p w:rsidR="00922D4E" w:rsidRPr="00922D4E" w:rsidRDefault="00922D4E" w:rsidP="00922D4E">
      <w:pPr>
        <w:spacing w:after="0" w:line="240" w:lineRule="auto"/>
        <w:jc w:val="lowKashida"/>
        <w:rPr>
          <w:rFonts w:ascii="Simplified Arabic" w:eastAsia="Times New Roman" w:hAnsi="Simplified Arabic" w:cs="Simplified Arabic"/>
          <w:b/>
          <w:bCs/>
          <w:sz w:val="28"/>
          <w:szCs w:val="24"/>
        </w:rPr>
      </w:pPr>
      <w:r w:rsidRPr="00922D4E">
        <w:rPr>
          <w:rFonts w:ascii="Simplified Arabic" w:eastAsia="Times New Roman" w:hAnsi="Simplified Arabic" w:cs="Simplified Arabic"/>
          <w:b/>
          <w:bCs/>
          <w:sz w:val="32"/>
          <w:szCs w:val="32"/>
          <w:rtl/>
        </w:rPr>
        <w:t xml:space="preserve">(2) </w:t>
      </w:r>
      <w:r w:rsidRPr="00922D4E">
        <w:rPr>
          <w:rFonts w:ascii="Simplified Arabic" w:eastAsia="Times New Roman" w:hAnsi="Simplified Arabic" w:cs="Simplified Arabic"/>
          <w:b/>
          <w:bCs/>
          <w:sz w:val="28"/>
          <w:szCs w:val="24"/>
          <w:rtl/>
        </w:rPr>
        <w:t xml:space="preserve">   </w:t>
      </w:r>
      <w:r w:rsidRPr="00922D4E">
        <w:rPr>
          <w:rFonts w:ascii="Simplified Arabic" w:eastAsia="Times New Roman" w:hAnsi="Simplified Arabic" w:cs="Simplified Arabic"/>
          <w:b/>
          <w:bCs/>
          <w:sz w:val="28"/>
          <w:szCs w:val="28"/>
          <w:rtl/>
        </w:rPr>
        <w:t>إيجار</w:t>
      </w:r>
    </w:p>
    <w:p w:rsidR="00922D4E" w:rsidRPr="00922D4E" w:rsidRDefault="00922D4E" w:rsidP="00922D4E">
      <w:pPr>
        <w:spacing w:after="0" w:line="240" w:lineRule="auto"/>
        <w:jc w:val="lowKashida"/>
        <w:rPr>
          <w:rFonts w:ascii="Times New Roman" w:eastAsia="Times New Roman" w:hAnsi="Times New Roman" w:cs="Simplified Arabic"/>
          <w:sz w:val="28"/>
          <w:szCs w:val="28"/>
          <w:rtl/>
        </w:rPr>
      </w:pPr>
      <w:r w:rsidRPr="00922D4E">
        <w:rPr>
          <w:rFonts w:ascii="Times New Roman" w:eastAsia="Times New Roman" w:hAnsi="Times New Roman" w:cs="Simplified Arabic"/>
          <w:sz w:val="28"/>
          <w:szCs w:val="28"/>
        </w:rPr>
        <w:t>-</w:t>
      </w:r>
      <w:r w:rsidRPr="00922D4E">
        <w:rPr>
          <w:rFonts w:ascii="Simplified Arabic" w:eastAsia="Times New Roman" w:hAnsi="Simplified Arabic" w:cs="Simplified Arabic"/>
          <w:sz w:val="28"/>
          <w:szCs w:val="28"/>
          <w:rtl/>
        </w:rPr>
        <w:t xml:space="preserve"> تقدير ما إذا كانت الوقائع المادية المنسوبة للمستأجر يشكل إساءة للاستعمال ضارة بالمؤجر من عدمه إستقلال محكمة الموضوع بها الحكم بأن إقامة حظائر الدواجن بجزء من الحديقة يعتبر استعمالا ضارا غير </w:t>
      </w:r>
      <w:proofErr w:type="gramStart"/>
      <w:r w:rsidRPr="00922D4E">
        <w:rPr>
          <w:rFonts w:ascii="Simplified Arabic" w:eastAsia="Times New Roman" w:hAnsi="Simplified Arabic" w:cs="Simplified Arabic"/>
          <w:sz w:val="28"/>
          <w:szCs w:val="28"/>
          <w:rtl/>
        </w:rPr>
        <w:t>مألوف .</w:t>
      </w:r>
      <w:proofErr w:type="gramEnd"/>
      <w:r w:rsidRPr="00922D4E">
        <w:rPr>
          <w:rFonts w:ascii="Simplified Arabic" w:eastAsia="Times New Roman" w:hAnsi="Simplified Arabic" w:cs="Simplified Arabic"/>
          <w:sz w:val="28"/>
          <w:szCs w:val="28"/>
          <w:rtl/>
        </w:rPr>
        <w:t xml:space="preserve"> سائغ .</w:t>
      </w:r>
    </w:p>
    <w:p w:rsidR="00922D4E" w:rsidRPr="00922D4E" w:rsidRDefault="00922D4E" w:rsidP="00922D4E">
      <w:pPr>
        <w:spacing w:after="0" w:line="240" w:lineRule="auto"/>
        <w:jc w:val="lowKashida"/>
        <w:rPr>
          <w:rFonts w:ascii="Simplified Arabic" w:eastAsia="Times New Roman" w:hAnsi="Simplified Arabic" w:cs="Simplified Arabic"/>
          <w:b/>
          <w:bCs/>
          <w:sz w:val="28"/>
          <w:szCs w:val="24"/>
        </w:rPr>
      </w:pPr>
    </w:p>
    <w:p w:rsidR="00922D4E" w:rsidRPr="00922D4E" w:rsidRDefault="00922D4E" w:rsidP="00922D4E">
      <w:pPr>
        <w:spacing w:after="0" w:line="240" w:lineRule="auto"/>
        <w:jc w:val="lowKashida"/>
        <w:rPr>
          <w:rFonts w:ascii="Simplified Arabic" w:eastAsia="Times New Roman" w:hAnsi="Simplified Arabic" w:cs="Simplified Arabic"/>
          <w:b/>
          <w:bCs/>
          <w:sz w:val="28"/>
          <w:szCs w:val="24"/>
          <w:rtl/>
        </w:rPr>
      </w:pPr>
    </w:p>
    <w:p w:rsidR="00922D4E" w:rsidRPr="00922D4E" w:rsidRDefault="00922D4E" w:rsidP="00922D4E">
      <w:pPr>
        <w:spacing w:after="0" w:line="240" w:lineRule="auto"/>
        <w:jc w:val="center"/>
        <w:rPr>
          <w:rFonts w:ascii="Times New Roman" w:eastAsia="Times New Roman" w:hAnsi="Times New Roman" w:cs="PT Bold Heading"/>
          <w:b/>
          <w:bCs/>
          <w:color w:val="008000"/>
          <w:sz w:val="32"/>
          <w:szCs w:val="32"/>
          <w:rtl/>
          <w:lang w:eastAsia="ar-SA"/>
        </w:rPr>
      </w:pPr>
      <w:r w:rsidRPr="00922D4E">
        <w:rPr>
          <w:rFonts w:ascii="Times New Roman" w:eastAsia="Times New Roman" w:hAnsi="Times New Roman" w:cs="PT Bold Heading" w:hint="cs"/>
          <w:b/>
          <w:bCs/>
          <w:color w:val="008000"/>
          <w:sz w:val="32"/>
          <w:szCs w:val="32"/>
          <w:rtl/>
          <w:lang w:eastAsia="ar-SA"/>
        </w:rPr>
        <w:t>القاعدة</w:t>
      </w:r>
    </w:p>
    <w:p w:rsidR="00922D4E" w:rsidRPr="00922D4E" w:rsidRDefault="00922D4E" w:rsidP="00922D4E">
      <w:pPr>
        <w:spacing w:after="0" w:line="240" w:lineRule="auto"/>
        <w:jc w:val="lowKashida"/>
        <w:rPr>
          <w:rFonts w:ascii="Times New Roman" w:eastAsia="Times New Roman" w:hAnsi="Times New Roman" w:cs="Simplified Arabic" w:hint="cs"/>
          <w:sz w:val="28"/>
          <w:szCs w:val="28"/>
          <w:rtl/>
        </w:rPr>
      </w:pPr>
      <w:r w:rsidRPr="00922D4E">
        <w:rPr>
          <w:rFonts w:ascii="Simplified Arabic" w:eastAsia="Times New Roman" w:hAnsi="Simplified Arabic" w:cs="Simplified Arabic"/>
          <w:sz w:val="28"/>
          <w:szCs w:val="28"/>
          <w:rtl/>
        </w:rPr>
        <w:t>1- مؤدى المواد 432 ، 564 ، 566 من التقنين المدنى أن ملحقات العين المؤجرة تشمل كل ما أعد لها بصفة دائمة لإستعمال العين المؤجرة فى الغرض المقصود منها أو حتى يستكمل هذا الإستعمال ، طبقاً لما يقضى به طبيعة الأشياء و عرف الجهة و قصد المتعاقدين ، و تحديد ما يعتبر من ملحقات العين المؤجرة و على ما جرى به قضاء هذه المحكمة - يختلف بإختلاف الظروف ، و هو بهذه المثابه يترك لتقدير قاضى الموضوع إستهداء بالمعايير السالفة ، بإعتباره مسألة تتعلق بتنفيذ العقد ، و لا يخضع فيها لرقابة محكمة النقض متى كان إستخلاصه سائغاً لما كان ذلك و كان البين من الحكم المطعون فيه أنه و هو بصدد تفسير عقد الإيجار سند الدعوى أن إتفاقاً تم بين طرفيه على إعتبار أن مسطح الحديقة المقابلة للعين المؤجرة الكائنة بالطابق الأرضى ملحق بها بإعتباره لازماً للتهوية و الإضاءة ، و أنها تعد بمثابة منفذ أو مطل لازم للإستعمال ، و أردف الحكم أن تخصيص قدر محدد من الأجرة للحديقة ليس من شأنه أن يجعل لها كياناً متميزاً مستقلاً عن الشقة طالما هى بطبيعتها من المنافع المخصصة لخدمتها ، و هو إستخلاص مانع لإنحراف فيه من المدلول الظاهر لعبارة العقد ، فإن النعى يكون على غير أساس .</w:t>
      </w:r>
    </w:p>
    <w:p w:rsidR="00922D4E" w:rsidRPr="00922D4E" w:rsidRDefault="00922D4E" w:rsidP="00922D4E">
      <w:pPr>
        <w:spacing w:after="0" w:line="240" w:lineRule="auto"/>
        <w:jc w:val="lowKashida"/>
        <w:rPr>
          <w:rFonts w:ascii="Simplified Arabic" w:eastAsia="Times New Roman" w:hAnsi="Simplified Arabic" w:cs="Simplified Arabic"/>
          <w:sz w:val="28"/>
          <w:szCs w:val="28"/>
        </w:rPr>
      </w:pPr>
    </w:p>
    <w:p w:rsidR="00922D4E" w:rsidRPr="00922D4E" w:rsidRDefault="00922D4E" w:rsidP="00922D4E">
      <w:pPr>
        <w:spacing w:after="0" w:line="240" w:lineRule="auto"/>
        <w:jc w:val="lowKashida"/>
        <w:rPr>
          <w:rFonts w:ascii="Tahoma" w:eastAsia="Times New Roman" w:hAnsi="Tahoma" w:cs="Tahoma"/>
          <w:sz w:val="20"/>
          <w:szCs w:val="20"/>
          <w:rtl/>
        </w:rPr>
      </w:pPr>
    </w:p>
    <w:p w:rsidR="00922D4E" w:rsidRPr="00922D4E" w:rsidRDefault="00922D4E" w:rsidP="00922D4E">
      <w:pPr>
        <w:spacing w:after="0" w:line="240" w:lineRule="auto"/>
        <w:jc w:val="lowKashida"/>
        <w:rPr>
          <w:rFonts w:ascii="Times New Roman" w:eastAsia="Times New Roman" w:hAnsi="Times New Roman" w:cs="Simplified Arabic"/>
          <w:sz w:val="28"/>
          <w:szCs w:val="28"/>
          <w:rtl/>
        </w:rPr>
      </w:pPr>
    </w:p>
    <w:p w:rsidR="00922D4E" w:rsidRPr="00922D4E" w:rsidRDefault="00922D4E" w:rsidP="00922D4E">
      <w:pPr>
        <w:spacing w:after="0" w:line="240" w:lineRule="auto"/>
        <w:jc w:val="lowKashida"/>
        <w:rPr>
          <w:rFonts w:ascii="Times New Roman" w:eastAsia="Times New Roman" w:hAnsi="Times New Roman" w:cs="Simplified Arabic"/>
          <w:sz w:val="28"/>
          <w:szCs w:val="28"/>
        </w:rPr>
      </w:pPr>
      <w:r w:rsidRPr="00922D4E">
        <w:rPr>
          <w:rFonts w:ascii="Simplified Arabic" w:eastAsia="Times New Roman" w:hAnsi="Simplified Arabic" w:cs="Simplified Arabic"/>
          <w:sz w:val="28"/>
          <w:szCs w:val="28"/>
          <w:rtl/>
        </w:rPr>
        <w:lastRenderedPageBreak/>
        <w:t>2- المقرر فى قضاء هذه المحكمة أن مفاد المادة  23- جـ من القانون رقم 52 لسنة 1969 حظر التغيير الذى ينشأ عنه ضرر للمؤجر ، و تقدير ما إذا كانت الوقائع المادية المنسوبة للمستأجر بشكل إساءة للإستعمال ضارة بالمؤجر من المسائل التى يستقل بتقديرها قاضى الموضوع دون رقابة متى كان إستخلاصه سائغاً و إذ كان الحكم المطعون فيه قد إعتد بتقرير الخبير الذى إنتهى إلى حدوث ضرر لحق المالك و السكان و العين المؤجرة يتمثل فى أن إقتطاع الطاعن جزءاً من الحديقة و إقامة ثلاثة حظائر للدجاج و رابعة للحمام عليها يعتبر إستعمالاً غير مألوف و ينطوى على إقلاق السكان و إضرار بالصحة العامة ، و هو قول منطقى و سنده فإن النعى يكون على غير أساس .</w:t>
      </w:r>
    </w:p>
    <w:p w:rsidR="00922D4E" w:rsidRPr="00922D4E" w:rsidRDefault="00922D4E" w:rsidP="00922D4E">
      <w:pPr>
        <w:spacing w:after="0" w:line="240" w:lineRule="auto"/>
        <w:jc w:val="lowKashida"/>
        <w:rPr>
          <w:rFonts w:ascii="Tahoma" w:eastAsia="Times New Roman" w:hAnsi="Tahoma" w:cs="Tahoma"/>
          <w:sz w:val="20"/>
          <w:szCs w:val="20"/>
        </w:rPr>
      </w:pPr>
    </w:p>
    <w:p w:rsidR="00922D4E" w:rsidRPr="00922D4E" w:rsidRDefault="00922D4E" w:rsidP="00922D4E">
      <w:pPr>
        <w:spacing w:after="0" w:line="240" w:lineRule="auto"/>
        <w:jc w:val="lowKashida"/>
        <w:rPr>
          <w:rFonts w:ascii="Times New Roman" w:eastAsia="Times New Roman" w:hAnsi="Times New Roman" w:cs="Simplified Arabic"/>
          <w:sz w:val="28"/>
          <w:szCs w:val="28"/>
          <w:rtl/>
        </w:rPr>
      </w:pPr>
      <w:r w:rsidRPr="00922D4E">
        <w:rPr>
          <w:rFonts w:ascii="Tahoma" w:eastAsia="Times New Roman" w:hAnsi="Tahoma" w:cs="Tahoma"/>
          <w:sz w:val="20"/>
          <w:szCs w:val="20"/>
          <w:rtl/>
        </w:rPr>
        <w:t>)</w:t>
      </w:r>
    </w:p>
    <w:p w:rsidR="00922D4E" w:rsidRPr="00922D4E" w:rsidRDefault="00922D4E" w:rsidP="00922D4E">
      <w:pPr>
        <w:spacing w:after="0" w:line="240" w:lineRule="auto"/>
        <w:jc w:val="center"/>
        <w:rPr>
          <w:rFonts w:ascii="Times New Roman" w:eastAsia="Times New Roman" w:hAnsi="Times New Roman" w:cs="Simplified Arabic"/>
          <w:sz w:val="24"/>
          <w:szCs w:val="24"/>
        </w:rPr>
      </w:pPr>
      <w:r w:rsidRPr="00922D4E">
        <w:rPr>
          <w:rFonts w:ascii="Simplified Arabic" w:eastAsia="Times New Roman" w:hAnsi="Simplified Arabic" w:cs="Simplified Arabic"/>
          <w:sz w:val="24"/>
          <w:szCs w:val="24"/>
          <w:rtl/>
        </w:rPr>
        <w:t>" سنة المكتب الفنى "  30 " رقم الصفحة - 694  -  قاعدة رقم –   -  "</w:t>
      </w:r>
    </w:p>
    <w:p w:rsidR="00922D4E" w:rsidRPr="00922D4E" w:rsidRDefault="00922D4E" w:rsidP="00922D4E">
      <w:pPr>
        <w:spacing w:after="0" w:line="240" w:lineRule="auto"/>
        <w:rPr>
          <w:rFonts w:ascii="Times New Roman" w:eastAsia="Times New Roman" w:hAnsi="Times New Roman" w:cs="Times New Roman"/>
          <w:sz w:val="24"/>
          <w:szCs w:val="24"/>
        </w:rPr>
      </w:pPr>
    </w:p>
    <w:p w:rsidR="006173AA" w:rsidRPr="00922D4E" w:rsidRDefault="006173AA">
      <w:bookmarkStart w:id="0" w:name="_GoBack"/>
      <w:bookmarkEnd w:id="0"/>
    </w:p>
    <w:sectPr w:rsidR="006173AA" w:rsidRPr="00922D4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4E"/>
    <w:rsid w:val="0003272B"/>
    <w:rsid w:val="006173AA"/>
    <w:rsid w:val="00922D4E"/>
    <w:rsid w:val="00D66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2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2020-06-08T09:42:00Z</dcterms:created>
  <dcterms:modified xsi:type="dcterms:W3CDTF">2020-06-08T09:43:00Z</dcterms:modified>
</cp:coreProperties>
</file>