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07" w:rsidRPr="00B05C07" w:rsidRDefault="00B05C07" w:rsidP="00B05C07">
      <w:pPr>
        <w:spacing w:after="0" w:line="240" w:lineRule="auto"/>
        <w:jc w:val="center"/>
        <w:rPr>
          <w:rFonts w:ascii="Times New Roman" w:eastAsia="Times New Roman" w:hAnsi="Times New Roman" w:cs="PT Bold Heading"/>
          <w:b/>
          <w:bCs/>
          <w:color w:val="008000"/>
          <w:sz w:val="32"/>
          <w:szCs w:val="32"/>
          <w:lang w:eastAsia="ar-SA"/>
        </w:rPr>
      </w:pPr>
      <w:r w:rsidRPr="00B05C07">
        <w:rPr>
          <w:rFonts w:ascii="Times New Roman" w:eastAsia="Times New Roman" w:hAnsi="Times New Roman" w:cs="PT Bold Heading" w:hint="cs"/>
          <w:b/>
          <w:bCs/>
          <w:color w:val="008000"/>
          <w:sz w:val="32"/>
          <w:szCs w:val="32"/>
          <w:rtl/>
          <w:lang w:eastAsia="ar-SA"/>
        </w:rPr>
        <w:t xml:space="preserve">الطعن رقم 157 لسنة 41 ق </w:t>
      </w:r>
      <w:r w:rsidRPr="00B05C07">
        <w:rPr>
          <w:rFonts w:ascii="Times New Roman" w:eastAsia="Times New Roman" w:hAnsi="Times New Roman" w:cs="Times New Roman" w:hint="cs"/>
          <w:b/>
          <w:bCs/>
          <w:color w:val="008000"/>
          <w:sz w:val="32"/>
          <w:szCs w:val="32"/>
          <w:rtl/>
          <w:lang w:eastAsia="ar-SA"/>
        </w:rPr>
        <w:t>–</w:t>
      </w:r>
      <w:r w:rsidRPr="00B05C07">
        <w:rPr>
          <w:rFonts w:ascii="Times New Roman" w:eastAsia="Times New Roman" w:hAnsi="Times New Roman" w:cs="PT Bold Heading" w:hint="cs"/>
          <w:b/>
          <w:bCs/>
          <w:color w:val="008000"/>
          <w:sz w:val="32"/>
          <w:szCs w:val="32"/>
          <w:rtl/>
          <w:lang w:eastAsia="ar-SA"/>
        </w:rPr>
        <w:t xml:space="preserve"> جلسة 26 -6-1979</w:t>
      </w:r>
    </w:p>
    <w:p w:rsidR="00B05C07" w:rsidRPr="00B05C07" w:rsidRDefault="00B05C07" w:rsidP="00B05C07">
      <w:pPr>
        <w:spacing w:after="0" w:line="240" w:lineRule="auto"/>
        <w:jc w:val="center"/>
        <w:rPr>
          <w:rFonts w:ascii="Times New Roman" w:eastAsia="Times New Roman" w:hAnsi="Times New Roman" w:cs="PT Bold Heading"/>
          <w:b/>
          <w:bCs/>
          <w:color w:val="008000"/>
          <w:sz w:val="32"/>
          <w:szCs w:val="32"/>
          <w:lang w:eastAsia="ar-SA"/>
        </w:rPr>
      </w:pPr>
      <w:r w:rsidRPr="00B05C07">
        <w:rPr>
          <w:rFonts w:ascii="Times New Roman" w:eastAsia="Times New Roman" w:hAnsi="Times New Roman" w:cs="PT Bold Heading" w:hint="cs"/>
          <w:b/>
          <w:bCs/>
          <w:color w:val="008000"/>
          <w:sz w:val="32"/>
          <w:szCs w:val="32"/>
          <w:rtl/>
          <w:lang w:eastAsia="ar-SA"/>
        </w:rPr>
        <w:t>الموضوع ،  و  الموجز :</w:t>
      </w:r>
    </w:p>
    <w:p w:rsidR="00B05C07" w:rsidRPr="00B05C07" w:rsidRDefault="00B05C07" w:rsidP="00B05C07">
      <w:pPr>
        <w:spacing w:after="0" w:line="240" w:lineRule="auto"/>
        <w:jc w:val="lowKashida"/>
        <w:rPr>
          <w:rFonts w:ascii="Times New Roman" w:eastAsia="Times New Roman" w:hAnsi="Times New Roman" w:cs="Simplified Arabic"/>
          <w:b/>
          <w:bCs/>
          <w:sz w:val="32"/>
          <w:szCs w:val="32"/>
        </w:rPr>
      </w:pPr>
    </w:p>
    <w:p w:rsidR="00B05C07" w:rsidRPr="00B05C07" w:rsidRDefault="00B05C07" w:rsidP="00B05C07">
      <w:pPr>
        <w:spacing w:after="0" w:line="240" w:lineRule="auto"/>
        <w:jc w:val="lowKashida"/>
        <w:rPr>
          <w:rFonts w:ascii="Times New Roman" w:eastAsia="Times New Roman" w:hAnsi="Times New Roman" w:cs="Simplified Arabic"/>
          <w:b/>
          <w:bCs/>
          <w:sz w:val="28"/>
          <w:szCs w:val="28"/>
        </w:rPr>
      </w:pPr>
      <w:r w:rsidRPr="00B05C07">
        <w:rPr>
          <w:rFonts w:ascii="Simplified Arabic" w:eastAsia="Times New Roman" w:hAnsi="Simplified Arabic" w:cs="Simplified Arabic"/>
          <w:b/>
          <w:bCs/>
          <w:sz w:val="32"/>
          <w:szCs w:val="32"/>
          <w:rtl/>
        </w:rPr>
        <w:t xml:space="preserve">(1) </w:t>
      </w:r>
      <w:r w:rsidRPr="00B05C07">
        <w:rPr>
          <w:rFonts w:ascii="Simplified Arabic" w:eastAsia="Times New Roman" w:hAnsi="Simplified Arabic" w:cs="Simplified Arabic"/>
          <w:b/>
          <w:bCs/>
          <w:sz w:val="28"/>
          <w:szCs w:val="24"/>
          <w:rtl/>
        </w:rPr>
        <w:t xml:space="preserve">   </w:t>
      </w:r>
      <w:r w:rsidRPr="00B05C07">
        <w:rPr>
          <w:rFonts w:ascii="Simplified Arabic" w:eastAsia="Times New Roman" w:hAnsi="Simplified Arabic" w:cs="Simplified Arabic"/>
          <w:b/>
          <w:bCs/>
          <w:sz w:val="28"/>
          <w:szCs w:val="28"/>
          <w:rtl/>
        </w:rPr>
        <w:t>حكم</w:t>
      </w:r>
    </w:p>
    <w:p w:rsidR="00B05C07" w:rsidRPr="00B05C07" w:rsidRDefault="00B05C07" w:rsidP="00B05C07">
      <w:pPr>
        <w:spacing w:after="0" w:line="240" w:lineRule="auto"/>
        <w:jc w:val="lowKashida"/>
        <w:rPr>
          <w:rFonts w:ascii="Times New Roman" w:eastAsia="Times New Roman" w:hAnsi="Times New Roman" w:cs="Simplified Arabic"/>
          <w:sz w:val="28"/>
          <w:szCs w:val="28"/>
        </w:rPr>
      </w:pPr>
      <w:r w:rsidRPr="00B05C07">
        <w:rPr>
          <w:rFonts w:ascii="Times New Roman" w:eastAsia="Times New Roman" w:hAnsi="Times New Roman" w:cs="Simplified Arabic"/>
          <w:sz w:val="28"/>
          <w:szCs w:val="28"/>
        </w:rPr>
        <w:t>-</w:t>
      </w:r>
      <w:r w:rsidRPr="00B05C07">
        <w:rPr>
          <w:rFonts w:ascii="Simplified Arabic" w:eastAsia="Times New Roman" w:hAnsi="Simplified Arabic" w:cs="Simplified Arabic"/>
          <w:sz w:val="28"/>
          <w:szCs w:val="28"/>
          <w:rtl/>
        </w:rPr>
        <w:t xml:space="preserve"> القضاء نهائيا ببراءة المتهم من جريمة القتل الخطأ وقيادته السيارة بحالة تعرض حياة الأشخاص والأموال للخطر القضاء من بعد للمضرور بالتعويض عما أصابه من ضرر من جراء تلف سيارته نتيجة الحادث لا مخالفة فيه لحجية الحكم الجنائى </w:t>
      </w:r>
      <w:proofErr w:type="gramStart"/>
      <w:r w:rsidRPr="00B05C07">
        <w:rPr>
          <w:rFonts w:ascii="Simplified Arabic" w:eastAsia="Times New Roman" w:hAnsi="Simplified Arabic" w:cs="Simplified Arabic"/>
          <w:sz w:val="28"/>
          <w:szCs w:val="28"/>
          <w:rtl/>
        </w:rPr>
        <w:t>السابق .</w:t>
      </w:r>
      <w:proofErr w:type="gramEnd"/>
      <w:r w:rsidRPr="00B05C07">
        <w:rPr>
          <w:rFonts w:ascii="Simplified Arabic" w:eastAsia="Times New Roman" w:hAnsi="Simplified Arabic" w:cs="Simplified Arabic"/>
          <w:sz w:val="28"/>
          <w:szCs w:val="28"/>
          <w:rtl/>
        </w:rPr>
        <w:t xml:space="preserve"> علة ذلك .</w:t>
      </w:r>
    </w:p>
    <w:p w:rsidR="00B05C07" w:rsidRPr="00B05C07" w:rsidRDefault="00B05C07" w:rsidP="00B05C07">
      <w:pPr>
        <w:spacing w:after="0" w:line="240" w:lineRule="auto"/>
        <w:jc w:val="lowKashida"/>
        <w:rPr>
          <w:rFonts w:ascii="Simplified Arabic" w:eastAsia="Times New Roman" w:hAnsi="Simplified Arabic" w:cs="Simplified Arabic"/>
          <w:b/>
          <w:bCs/>
          <w:sz w:val="28"/>
          <w:szCs w:val="24"/>
        </w:rPr>
      </w:pPr>
    </w:p>
    <w:p w:rsidR="00B05C07" w:rsidRPr="00B05C07" w:rsidRDefault="00B05C07" w:rsidP="00B05C07">
      <w:pPr>
        <w:spacing w:after="0" w:line="240" w:lineRule="auto"/>
        <w:jc w:val="lowKashida"/>
        <w:rPr>
          <w:rFonts w:ascii="Times New Roman" w:eastAsia="Times New Roman" w:hAnsi="Times New Roman" w:cs="Simplified Arabic"/>
          <w:b/>
          <w:bCs/>
          <w:sz w:val="28"/>
          <w:szCs w:val="24"/>
          <w:rtl/>
        </w:rPr>
      </w:pPr>
    </w:p>
    <w:p w:rsidR="00B05C07" w:rsidRPr="00B05C07" w:rsidRDefault="00B05C07" w:rsidP="00B05C07">
      <w:pPr>
        <w:spacing w:after="0" w:line="240" w:lineRule="auto"/>
        <w:jc w:val="center"/>
        <w:rPr>
          <w:rFonts w:ascii="Times New Roman" w:eastAsia="Times New Roman" w:hAnsi="Times New Roman" w:cs="PT Bold Heading"/>
          <w:b/>
          <w:bCs/>
          <w:color w:val="008000"/>
          <w:sz w:val="32"/>
          <w:szCs w:val="32"/>
          <w:lang w:eastAsia="ar-SA"/>
        </w:rPr>
      </w:pPr>
      <w:r w:rsidRPr="00B05C07">
        <w:rPr>
          <w:rFonts w:ascii="Times New Roman" w:eastAsia="Times New Roman" w:hAnsi="Times New Roman" w:cs="PT Bold Heading" w:hint="cs"/>
          <w:b/>
          <w:bCs/>
          <w:color w:val="008000"/>
          <w:sz w:val="32"/>
          <w:szCs w:val="32"/>
          <w:rtl/>
          <w:lang w:eastAsia="ar-SA"/>
        </w:rPr>
        <w:t>القاعدة</w:t>
      </w:r>
    </w:p>
    <w:p w:rsidR="00B05C07" w:rsidRPr="00B05C07" w:rsidRDefault="00B05C07" w:rsidP="00B05C07">
      <w:pPr>
        <w:spacing w:after="0" w:line="240" w:lineRule="auto"/>
        <w:jc w:val="lowKashida"/>
        <w:rPr>
          <w:rFonts w:ascii="Times New Roman" w:eastAsia="Times New Roman" w:hAnsi="Times New Roman" w:cs="Simplified Arabic" w:hint="cs"/>
          <w:sz w:val="28"/>
          <w:szCs w:val="28"/>
          <w:rtl/>
        </w:rPr>
      </w:pPr>
      <w:r w:rsidRPr="00B05C07">
        <w:rPr>
          <w:rFonts w:ascii="Simplified Arabic" w:eastAsia="Times New Roman" w:hAnsi="Simplified Arabic" w:cs="Simplified Arabic"/>
          <w:sz w:val="28"/>
          <w:szCs w:val="28"/>
          <w:rtl/>
        </w:rPr>
        <w:t>1-مؤدى المادة 456 من قانون الإجراءات الجنائية و المادة 406 من القانون المدنى المطابقة لنص المادة 102 من قانون الإثبات أن الحكم الصادر فى المواد الجنائية لا تكون له حجية فى الدعوى المدنية أمام المحاكم المدنية إلا إذا كان قد فصل فصلاً لازماً فى وقوع الفعل المكون للأساس المشترك بين الدعويين الجنائية  و المدنية و فى الوصف القانونى لذا الفعل و نسبته إلى فاعله . و لما كان البين من الأوراق أن محكمة الجنح المستأنفة قضت فى الدعوى رقم 96 لسنة 1968 جنح غرب الإسكندرية ببراءة قائد السيارة الطاعنين من تهمة القتل الخطأ و قيادته سيارة بحالة تعرض حياة الأشخاص و الأموال للخطر و سبقه للسيارة التى تتقدمه دون التأكد من أن حالة الطريق تسمح بذلك ، و قضت بمعاقبته عن تهمة قيادة سيارة بدون رخصة . و كان المطعون عليه قد طلب الحكم له بتعويض عن الضرر الذى إصابة من جراء تلف سيارته نتيجة اصطدام سيارة الطاعنين بها ، و هى واقعة لم ترفع بها الدعوى الجنائية ، و ما كانت لترفع بها لأن القانون الجنائى لا يعرف جريمة إتلاف المنقول بإهمال . لما كان ذلك ، فإن الحكم المطعون فيه إذ بنى قضاءه بالتعويض على أساس ما ثبت لدى المحكمة من تحقيقات الدعوى الجنائية و من المعاينة لا يكون قد خالف حجية الحكم الجنائي سالف الذكر .</w:t>
      </w:r>
    </w:p>
    <w:p w:rsidR="00B05C07" w:rsidRPr="00B05C07" w:rsidRDefault="00B05C07" w:rsidP="00B05C07">
      <w:pPr>
        <w:spacing w:after="0" w:line="240" w:lineRule="auto"/>
        <w:jc w:val="lowKashida"/>
        <w:rPr>
          <w:rFonts w:ascii="Simplified Arabic" w:eastAsia="Times New Roman" w:hAnsi="Simplified Arabic" w:cs="Simplified Arabic"/>
          <w:sz w:val="28"/>
          <w:szCs w:val="28"/>
        </w:rPr>
      </w:pPr>
    </w:p>
    <w:p w:rsidR="00B05C07" w:rsidRPr="00B05C07" w:rsidRDefault="00B05C07" w:rsidP="00B05C07">
      <w:pPr>
        <w:spacing w:after="0" w:line="240" w:lineRule="auto"/>
        <w:jc w:val="lowKashida"/>
        <w:rPr>
          <w:rFonts w:ascii="Times New Roman" w:eastAsia="Times New Roman" w:hAnsi="Times New Roman" w:cs="Simplified Arabic"/>
          <w:sz w:val="28"/>
          <w:szCs w:val="28"/>
          <w:rtl/>
        </w:rPr>
      </w:pPr>
    </w:p>
    <w:p w:rsidR="00B05C07" w:rsidRPr="00B05C07" w:rsidRDefault="00B05C07" w:rsidP="00B05C07">
      <w:pPr>
        <w:spacing w:after="0" w:line="240" w:lineRule="auto"/>
        <w:jc w:val="center"/>
        <w:rPr>
          <w:rFonts w:ascii="Times New Roman" w:eastAsia="Times New Roman" w:hAnsi="Times New Roman" w:cs="Simplified Arabic"/>
          <w:sz w:val="24"/>
          <w:szCs w:val="24"/>
        </w:rPr>
      </w:pPr>
      <w:r w:rsidRPr="00B05C07">
        <w:rPr>
          <w:rFonts w:ascii="Simplified Arabic" w:eastAsia="Times New Roman" w:hAnsi="Simplified Arabic" w:cs="Simplified Arabic"/>
          <w:sz w:val="24"/>
          <w:szCs w:val="24"/>
          <w:rtl/>
        </w:rPr>
        <w:t>" سنة المكتب الفنى "  30 " رقم الصفحة - 770  -  قاعدة رقم –   -  "</w:t>
      </w:r>
    </w:p>
    <w:p w:rsidR="00B05C07" w:rsidRPr="00B05C07" w:rsidRDefault="00B05C07" w:rsidP="00B05C07">
      <w:pPr>
        <w:spacing w:after="0" w:line="240" w:lineRule="auto"/>
        <w:jc w:val="lowKashida"/>
        <w:rPr>
          <w:rFonts w:ascii="Simplified Arabic" w:eastAsia="Times New Roman" w:hAnsi="Simplified Arabic" w:cs="Simplified Arabic"/>
          <w:sz w:val="28"/>
          <w:szCs w:val="28"/>
        </w:rPr>
      </w:pPr>
    </w:p>
    <w:p w:rsidR="00B05C07" w:rsidRPr="00B05C07" w:rsidRDefault="00B05C07" w:rsidP="00B05C07">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8D"/>
    <w:rsid w:val="0003272B"/>
    <w:rsid w:val="006173AA"/>
    <w:rsid w:val="0064018D"/>
    <w:rsid w:val="00B05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2020-06-08T09:42:00Z</dcterms:created>
  <dcterms:modified xsi:type="dcterms:W3CDTF">2020-06-08T09:42:00Z</dcterms:modified>
</cp:coreProperties>
</file>