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720" w:rsidRPr="00BA2720" w:rsidRDefault="00BA2720" w:rsidP="00BA2720">
      <w:pPr>
        <w:spacing w:after="0" w:line="240" w:lineRule="auto"/>
        <w:jc w:val="center"/>
        <w:rPr>
          <w:rFonts w:ascii="Times New Roman" w:eastAsia="Times New Roman" w:hAnsi="Times New Roman" w:cs="PT Bold Heading"/>
          <w:b/>
          <w:bCs/>
          <w:color w:val="008000"/>
          <w:sz w:val="32"/>
          <w:szCs w:val="32"/>
          <w:lang w:eastAsia="ar-SA"/>
        </w:rPr>
      </w:pPr>
      <w:r w:rsidRPr="00BA2720">
        <w:rPr>
          <w:rFonts w:ascii="Times New Roman" w:eastAsia="Times New Roman" w:hAnsi="Times New Roman" w:cs="PT Bold Heading" w:hint="cs"/>
          <w:b/>
          <w:bCs/>
          <w:color w:val="008000"/>
          <w:sz w:val="32"/>
          <w:szCs w:val="32"/>
          <w:rtl/>
          <w:lang w:eastAsia="ar-SA"/>
        </w:rPr>
        <w:t xml:space="preserve">الطعن رقم 161 لسنة 44 ق </w:t>
      </w:r>
      <w:r w:rsidRPr="00BA2720">
        <w:rPr>
          <w:rFonts w:ascii="Times New Roman" w:eastAsia="Times New Roman" w:hAnsi="Times New Roman" w:cs="Times New Roman" w:hint="cs"/>
          <w:b/>
          <w:bCs/>
          <w:color w:val="008000"/>
          <w:sz w:val="32"/>
          <w:szCs w:val="32"/>
          <w:rtl/>
          <w:lang w:eastAsia="ar-SA"/>
        </w:rPr>
        <w:t>-</w:t>
      </w:r>
      <w:r w:rsidRPr="00BA2720">
        <w:rPr>
          <w:rFonts w:ascii="Times New Roman" w:eastAsia="Times New Roman" w:hAnsi="Times New Roman" w:cs="PT Bold Heading" w:hint="cs"/>
          <w:b/>
          <w:bCs/>
          <w:color w:val="008000"/>
          <w:sz w:val="32"/>
          <w:szCs w:val="32"/>
          <w:rtl/>
          <w:lang w:eastAsia="ar-SA"/>
        </w:rPr>
        <w:t xml:space="preserve"> جلسة 17-5-1979</w:t>
      </w:r>
    </w:p>
    <w:p w:rsidR="00BA2720" w:rsidRPr="00BA2720" w:rsidRDefault="00BA2720" w:rsidP="00BA2720">
      <w:pPr>
        <w:spacing w:after="0" w:line="240" w:lineRule="auto"/>
        <w:jc w:val="center"/>
        <w:rPr>
          <w:rFonts w:ascii="Times New Roman" w:eastAsia="Times New Roman" w:hAnsi="Times New Roman" w:cs="PT Bold Heading"/>
          <w:b/>
          <w:bCs/>
          <w:color w:val="008000"/>
          <w:sz w:val="32"/>
          <w:szCs w:val="32"/>
          <w:lang w:eastAsia="ar-SA"/>
        </w:rPr>
      </w:pPr>
      <w:r w:rsidRPr="00BA2720">
        <w:rPr>
          <w:rFonts w:ascii="Times New Roman" w:eastAsia="Times New Roman" w:hAnsi="Times New Roman" w:cs="PT Bold Heading" w:hint="cs"/>
          <w:b/>
          <w:bCs/>
          <w:color w:val="008000"/>
          <w:sz w:val="32"/>
          <w:szCs w:val="32"/>
          <w:rtl/>
          <w:lang w:eastAsia="ar-SA"/>
        </w:rPr>
        <w:t>الموضوع ،  و  الموجز :</w:t>
      </w:r>
    </w:p>
    <w:p w:rsidR="00BA2720" w:rsidRPr="00BA2720" w:rsidRDefault="00BA2720" w:rsidP="00BA2720">
      <w:pPr>
        <w:spacing w:after="0" w:line="240" w:lineRule="auto"/>
        <w:jc w:val="lowKashida"/>
        <w:rPr>
          <w:rFonts w:ascii="Times New Roman" w:eastAsia="Times New Roman" w:hAnsi="Times New Roman" w:cs="Simplified Arabic"/>
          <w:b/>
          <w:bCs/>
          <w:sz w:val="32"/>
          <w:szCs w:val="32"/>
        </w:rPr>
      </w:pPr>
    </w:p>
    <w:p w:rsidR="00BA2720" w:rsidRPr="00BA2720" w:rsidRDefault="00BA2720" w:rsidP="00BA2720">
      <w:pPr>
        <w:spacing w:after="0" w:line="240" w:lineRule="auto"/>
        <w:jc w:val="lowKashida"/>
        <w:rPr>
          <w:rFonts w:ascii="Times New Roman" w:eastAsia="Times New Roman" w:hAnsi="Times New Roman" w:cs="Simplified Arabic"/>
          <w:b/>
          <w:bCs/>
          <w:sz w:val="28"/>
          <w:szCs w:val="28"/>
        </w:rPr>
      </w:pPr>
      <w:r w:rsidRPr="00BA2720">
        <w:rPr>
          <w:rFonts w:ascii="Simplified Arabic" w:eastAsia="Times New Roman" w:hAnsi="Simplified Arabic" w:cs="Simplified Arabic"/>
          <w:b/>
          <w:bCs/>
          <w:sz w:val="32"/>
          <w:szCs w:val="32"/>
          <w:rtl/>
        </w:rPr>
        <w:t xml:space="preserve">(1) </w:t>
      </w:r>
      <w:r w:rsidRPr="00BA2720">
        <w:rPr>
          <w:rFonts w:ascii="Simplified Arabic" w:eastAsia="Times New Roman" w:hAnsi="Simplified Arabic" w:cs="Simplified Arabic"/>
          <w:b/>
          <w:bCs/>
          <w:sz w:val="28"/>
          <w:szCs w:val="24"/>
          <w:rtl/>
        </w:rPr>
        <w:t xml:space="preserve">   </w:t>
      </w:r>
      <w:r w:rsidRPr="00BA2720">
        <w:rPr>
          <w:rFonts w:ascii="Simplified Arabic" w:eastAsia="Times New Roman" w:hAnsi="Simplified Arabic" w:cs="Simplified Arabic"/>
          <w:b/>
          <w:bCs/>
          <w:sz w:val="28"/>
          <w:szCs w:val="28"/>
          <w:rtl/>
        </w:rPr>
        <w:t xml:space="preserve"> وكالة </w:t>
      </w:r>
    </w:p>
    <w:p w:rsidR="00BA2720" w:rsidRPr="00BA2720" w:rsidRDefault="00BA2720" w:rsidP="00BA2720">
      <w:pPr>
        <w:spacing w:after="0" w:line="240" w:lineRule="auto"/>
        <w:jc w:val="lowKashida"/>
        <w:rPr>
          <w:rFonts w:ascii="Times New Roman" w:eastAsia="Times New Roman" w:hAnsi="Times New Roman" w:cs="Simplified Arabic"/>
          <w:sz w:val="28"/>
          <w:szCs w:val="28"/>
        </w:rPr>
      </w:pPr>
      <w:r w:rsidRPr="00BA2720">
        <w:rPr>
          <w:rFonts w:ascii="Times New Roman" w:eastAsia="Times New Roman" w:hAnsi="Times New Roman" w:cs="Simplified Arabic"/>
          <w:sz w:val="28"/>
          <w:szCs w:val="28"/>
        </w:rPr>
        <w:t>-</w:t>
      </w:r>
      <w:r w:rsidRPr="00BA2720">
        <w:rPr>
          <w:rFonts w:ascii="Simplified Arabic" w:eastAsia="Times New Roman" w:hAnsi="Simplified Arabic" w:cs="Simplified Arabic"/>
          <w:sz w:val="28"/>
          <w:szCs w:val="28"/>
          <w:rtl/>
        </w:rPr>
        <w:t xml:space="preserve"> مباشرة المحامى للإجراء قبل صدور التوكيل ممن كلفه به عدم جواز إعتراض خصمه بأن الوكالة لم تكن ثابتة قبل إتخاذ </w:t>
      </w:r>
      <w:proofErr w:type="gramStart"/>
      <w:r w:rsidRPr="00BA2720">
        <w:rPr>
          <w:rFonts w:ascii="Simplified Arabic" w:eastAsia="Times New Roman" w:hAnsi="Simplified Arabic" w:cs="Simplified Arabic"/>
          <w:sz w:val="28"/>
          <w:szCs w:val="28"/>
          <w:rtl/>
        </w:rPr>
        <w:t>الإجراء .</w:t>
      </w:r>
      <w:proofErr w:type="gramEnd"/>
      <w:r w:rsidRPr="00BA2720">
        <w:rPr>
          <w:rFonts w:ascii="Simplified Arabic" w:eastAsia="Times New Roman" w:hAnsi="Simplified Arabic" w:cs="Simplified Arabic"/>
          <w:sz w:val="28"/>
          <w:szCs w:val="28"/>
          <w:rtl/>
        </w:rPr>
        <w:t xml:space="preserve"> علة ذلك .</w:t>
      </w:r>
    </w:p>
    <w:p w:rsidR="00BA2720" w:rsidRPr="00BA2720" w:rsidRDefault="00BA2720" w:rsidP="00BA2720">
      <w:pPr>
        <w:spacing w:after="0" w:line="240" w:lineRule="auto"/>
        <w:jc w:val="lowKashida"/>
        <w:rPr>
          <w:rFonts w:ascii="Simplified Arabic" w:eastAsia="Times New Roman" w:hAnsi="Simplified Arabic" w:cs="Simplified Arabic"/>
          <w:b/>
          <w:bCs/>
          <w:sz w:val="28"/>
          <w:szCs w:val="24"/>
        </w:rPr>
      </w:pPr>
    </w:p>
    <w:p w:rsidR="00BA2720" w:rsidRPr="00BA2720" w:rsidRDefault="00BA2720" w:rsidP="00BA2720">
      <w:pPr>
        <w:spacing w:after="0" w:line="240" w:lineRule="auto"/>
        <w:jc w:val="lowKashida"/>
        <w:rPr>
          <w:rFonts w:ascii="Times New Roman" w:eastAsia="Times New Roman" w:hAnsi="Times New Roman" w:cs="Simplified Arabic"/>
          <w:b/>
          <w:bCs/>
          <w:sz w:val="28"/>
          <w:szCs w:val="24"/>
          <w:rtl/>
        </w:rPr>
      </w:pPr>
    </w:p>
    <w:p w:rsidR="00BA2720" w:rsidRPr="00BA2720" w:rsidRDefault="00BA2720" w:rsidP="00BA2720">
      <w:pPr>
        <w:spacing w:after="0" w:line="240" w:lineRule="auto"/>
        <w:jc w:val="lowKashida"/>
        <w:rPr>
          <w:rFonts w:ascii="Simplified Arabic" w:eastAsia="Times New Roman" w:hAnsi="Simplified Arabic" w:cs="Simplified Arabic"/>
          <w:b/>
          <w:bCs/>
          <w:sz w:val="28"/>
          <w:szCs w:val="24"/>
        </w:rPr>
      </w:pPr>
      <w:r w:rsidRPr="00BA2720">
        <w:rPr>
          <w:rFonts w:ascii="Simplified Arabic" w:eastAsia="Times New Roman" w:hAnsi="Simplified Arabic" w:cs="Simplified Arabic"/>
          <w:b/>
          <w:bCs/>
          <w:sz w:val="32"/>
          <w:szCs w:val="32"/>
          <w:rtl/>
        </w:rPr>
        <w:t xml:space="preserve">(2) </w:t>
      </w:r>
      <w:r w:rsidRPr="00BA2720">
        <w:rPr>
          <w:rFonts w:ascii="Simplified Arabic" w:eastAsia="Times New Roman" w:hAnsi="Simplified Arabic" w:cs="Simplified Arabic"/>
          <w:b/>
          <w:bCs/>
          <w:sz w:val="28"/>
          <w:szCs w:val="24"/>
          <w:rtl/>
        </w:rPr>
        <w:t xml:space="preserve">   </w:t>
      </w:r>
      <w:r w:rsidRPr="00BA2720">
        <w:rPr>
          <w:rFonts w:ascii="Simplified Arabic" w:eastAsia="Times New Roman" w:hAnsi="Simplified Arabic" w:cs="Simplified Arabic"/>
          <w:b/>
          <w:bCs/>
          <w:sz w:val="28"/>
          <w:szCs w:val="28"/>
          <w:rtl/>
        </w:rPr>
        <w:t>محاماة</w:t>
      </w:r>
      <w:r w:rsidRPr="00BA2720">
        <w:rPr>
          <w:rFonts w:ascii="Simplified Arabic" w:eastAsia="Times New Roman" w:hAnsi="Simplified Arabic" w:cs="Simplified Arabic"/>
          <w:b/>
          <w:bCs/>
          <w:sz w:val="28"/>
          <w:szCs w:val="24"/>
          <w:rtl/>
        </w:rPr>
        <w:t xml:space="preserve">  </w:t>
      </w:r>
    </w:p>
    <w:p w:rsidR="00BA2720" w:rsidRPr="00BA2720" w:rsidRDefault="00BA2720" w:rsidP="00BA2720">
      <w:pPr>
        <w:spacing w:after="0" w:line="240" w:lineRule="auto"/>
        <w:jc w:val="lowKashida"/>
        <w:rPr>
          <w:rFonts w:ascii="Simplified Arabic" w:eastAsia="Times New Roman" w:hAnsi="Simplified Arabic" w:cs="Simplified Arabic"/>
          <w:b/>
          <w:bCs/>
          <w:sz w:val="28"/>
          <w:szCs w:val="24"/>
          <w:rtl/>
        </w:rPr>
      </w:pPr>
      <w:r w:rsidRPr="00BA2720">
        <w:rPr>
          <w:rFonts w:ascii="Times New Roman" w:eastAsia="Times New Roman" w:hAnsi="Times New Roman" w:cs="Simplified Arabic"/>
          <w:sz w:val="28"/>
          <w:szCs w:val="24"/>
        </w:rPr>
        <w:t>-</w:t>
      </w:r>
    </w:p>
    <w:p w:rsidR="00BA2720" w:rsidRPr="00BA2720" w:rsidRDefault="00BA2720" w:rsidP="00BA2720">
      <w:pPr>
        <w:spacing w:after="0" w:line="240" w:lineRule="auto"/>
        <w:jc w:val="lowKashida"/>
        <w:rPr>
          <w:rFonts w:ascii="Simplified Arabic" w:eastAsia="Times New Roman" w:hAnsi="Simplified Arabic" w:cs="Simplified Arabic"/>
          <w:b/>
          <w:bCs/>
          <w:sz w:val="28"/>
          <w:szCs w:val="24"/>
          <w:rtl/>
        </w:rPr>
      </w:pPr>
    </w:p>
    <w:p w:rsidR="00BA2720" w:rsidRPr="00BA2720" w:rsidRDefault="00BA2720" w:rsidP="00BA2720">
      <w:pPr>
        <w:spacing w:after="0" w:line="240" w:lineRule="auto"/>
        <w:jc w:val="lowKashida"/>
        <w:rPr>
          <w:rFonts w:ascii="Times New Roman" w:eastAsia="Times New Roman" w:hAnsi="Times New Roman" w:cs="Simplified Arabic"/>
          <w:b/>
          <w:bCs/>
          <w:sz w:val="28"/>
          <w:szCs w:val="24"/>
          <w:rtl/>
        </w:rPr>
      </w:pPr>
      <w:r w:rsidRPr="00BA2720">
        <w:rPr>
          <w:rFonts w:ascii="Simplified Arabic" w:eastAsia="Times New Roman" w:hAnsi="Simplified Arabic" w:cs="Simplified Arabic"/>
          <w:b/>
          <w:bCs/>
          <w:sz w:val="32"/>
          <w:szCs w:val="32"/>
          <w:rtl/>
        </w:rPr>
        <w:t xml:space="preserve">(3) </w:t>
      </w:r>
      <w:r w:rsidRPr="00BA2720">
        <w:rPr>
          <w:rFonts w:ascii="Simplified Arabic" w:eastAsia="Times New Roman" w:hAnsi="Simplified Arabic" w:cs="Simplified Arabic"/>
          <w:b/>
          <w:bCs/>
          <w:sz w:val="28"/>
          <w:szCs w:val="24"/>
          <w:rtl/>
        </w:rPr>
        <w:t xml:space="preserve">   </w:t>
      </w:r>
      <w:r w:rsidRPr="00BA2720">
        <w:rPr>
          <w:rFonts w:ascii="Simplified Arabic" w:eastAsia="Times New Roman" w:hAnsi="Simplified Arabic" w:cs="Simplified Arabic"/>
          <w:b/>
          <w:bCs/>
          <w:sz w:val="28"/>
          <w:szCs w:val="28"/>
          <w:rtl/>
        </w:rPr>
        <w:t>بطلان</w:t>
      </w:r>
      <w:r w:rsidRPr="00BA2720">
        <w:rPr>
          <w:rFonts w:ascii="Simplified Arabic" w:eastAsia="Times New Roman" w:hAnsi="Simplified Arabic" w:cs="Simplified Arabic"/>
          <w:b/>
          <w:bCs/>
          <w:sz w:val="28"/>
          <w:szCs w:val="24"/>
          <w:rtl/>
        </w:rPr>
        <w:t xml:space="preserve"> </w:t>
      </w:r>
    </w:p>
    <w:p w:rsidR="00BA2720" w:rsidRPr="00BA2720" w:rsidRDefault="00BA2720" w:rsidP="00BA2720">
      <w:pPr>
        <w:spacing w:after="0" w:line="240" w:lineRule="auto"/>
        <w:jc w:val="lowKashida"/>
        <w:rPr>
          <w:rFonts w:ascii="Times New Roman" w:eastAsia="Times New Roman" w:hAnsi="Times New Roman" w:cs="Simplified Arabic"/>
          <w:sz w:val="28"/>
          <w:szCs w:val="28"/>
        </w:rPr>
      </w:pPr>
      <w:r w:rsidRPr="00BA2720">
        <w:rPr>
          <w:rFonts w:ascii="Simplified Arabic" w:eastAsia="Times New Roman" w:hAnsi="Simplified Arabic" w:cs="Simplified Arabic"/>
          <w:sz w:val="28"/>
          <w:szCs w:val="28"/>
          <w:rtl/>
        </w:rPr>
        <w:t>- بطلان الحكم لإغفاله دفاع أبداه الخصم . شرطه . أن يكون الدفاع جوهريا ومؤثرا فى نتيجة الحكم</w:t>
      </w:r>
    </w:p>
    <w:p w:rsidR="00BA2720" w:rsidRPr="00BA2720" w:rsidRDefault="00BA2720" w:rsidP="00BA2720">
      <w:pPr>
        <w:spacing w:after="0" w:line="240" w:lineRule="auto"/>
        <w:jc w:val="lowKashida"/>
        <w:rPr>
          <w:rFonts w:ascii="Times New Roman" w:eastAsia="Times New Roman" w:hAnsi="Times New Roman" w:cs="Simplified Arabic"/>
          <w:b/>
          <w:bCs/>
          <w:sz w:val="28"/>
          <w:szCs w:val="24"/>
        </w:rPr>
      </w:pPr>
      <w:r w:rsidRPr="00BA2720">
        <w:rPr>
          <w:rFonts w:ascii="Simplified Arabic" w:eastAsia="Times New Roman" w:hAnsi="Simplified Arabic" w:cs="Simplified Arabic"/>
          <w:b/>
          <w:bCs/>
          <w:sz w:val="32"/>
          <w:szCs w:val="32"/>
          <w:rtl/>
        </w:rPr>
        <w:t xml:space="preserve">(4) </w:t>
      </w:r>
      <w:r w:rsidRPr="00BA2720">
        <w:rPr>
          <w:rFonts w:ascii="Simplified Arabic" w:eastAsia="Times New Roman" w:hAnsi="Simplified Arabic" w:cs="Simplified Arabic"/>
          <w:b/>
          <w:bCs/>
          <w:sz w:val="28"/>
          <w:szCs w:val="24"/>
          <w:rtl/>
        </w:rPr>
        <w:t xml:space="preserve">   </w:t>
      </w:r>
      <w:r w:rsidRPr="00BA2720">
        <w:rPr>
          <w:rFonts w:ascii="Simplified Arabic" w:eastAsia="Times New Roman" w:hAnsi="Simplified Arabic" w:cs="Simplified Arabic"/>
          <w:b/>
          <w:bCs/>
          <w:sz w:val="28"/>
          <w:szCs w:val="28"/>
          <w:rtl/>
        </w:rPr>
        <w:t>دعوى</w:t>
      </w:r>
      <w:r w:rsidRPr="00BA2720">
        <w:rPr>
          <w:rFonts w:ascii="Simplified Arabic" w:eastAsia="Times New Roman" w:hAnsi="Simplified Arabic" w:cs="Simplified Arabic"/>
          <w:b/>
          <w:bCs/>
          <w:sz w:val="28"/>
          <w:szCs w:val="24"/>
          <w:rtl/>
        </w:rPr>
        <w:t xml:space="preserve"> </w:t>
      </w:r>
    </w:p>
    <w:p w:rsidR="00BA2720" w:rsidRPr="00BA2720" w:rsidRDefault="00BA2720" w:rsidP="00BA2720">
      <w:pPr>
        <w:spacing w:after="0" w:line="240" w:lineRule="auto"/>
        <w:jc w:val="lowKashida"/>
        <w:rPr>
          <w:rFonts w:ascii="Times New Roman" w:eastAsia="Times New Roman" w:hAnsi="Times New Roman" w:cs="Simplified Arabic"/>
          <w:sz w:val="28"/>
          <w:szCs w:val="28"/>
        </w:rPr>
      </w:pPr>
      <w:r w:rsidRPr="00BA2720">
        <w:rPr>
          <w:rFonts w:ascii="Times New Roman" w:eastAsia="Times New Roman" w:hAnsi="Times New Roman" w:cs="Simplified Arabic"/>
          <w:sz w:val="28"/>
          <w:szCs w:val="28"/>
        </w:rPr>
        <w:t>-</w:t>
      </w:r>
      <w:r w:rsidRPr="00BA2720">
        <w:rPr>
          <w:rFonts w:ascii="Simplified Arabic" w:eastAsia="Times New Roman" w:hAnsi="Simplified Arabic" w:cs="Simplified Arabic"/>
          <w:sz w:val="28"/>
          <w:szCs w:val="28"/>
          <w:rtl/>
        </w:rPr>
        <w:t xml:space="preserve"> تجديد الدعوى بعد شطبها عدم إشتراط أن يكون بيد المحامي توكيل من ذي الشأن عند تحرير صحيفة التجديد وإعلانها وجوب إثبات الوكالة في الحضور عن الموكل أمام المحكمة م 73 </w:t>
      </w:r>
      <w:proofErr w:type="gramStart"/>
      <w:r w:rsidRPr="00BA2720">
        <w:rPr>
          <w:rFonts w:ascii="Simplified Arabic" w:eastAsia="Times New Roman" w:hAnsi="Simplified Arabic" w:cs="Simplified Arabic"/>
          <w:sz w:val="28"/>
          <w:szCs w:val="28"/>
          <w:rtl/>
        </w:rPr>
        <w:t>مرافعات .</w:t>
      </w:r>
      <w:proofErr w:type="gramEnd"/>
    </w:p>
    <w:p w:rsidR="00BA2720" w:rsidRPr="00BA2720" w:rsidRDefault="00BA2720" w:rsidP="00BA2720">
      <w:pPr>
        <w:spacing w:after="0" w:line="240" w:lineRule="auto"/>
        <w:jc w:val="lowKashida"/>
        <w:rPr>
          <w:rFonts w:ascii="Times New Roman" w:eastAsia="Times New Roman" w:hAnsi="Times New Roman" w:cs="Simplified Arabic"/>
          <w:b/>
          <w:bCs/>
          <w:sz w:val="28"/>
          <w:szCs w:val="24"/>
        </w:rPr>
      </w:pPr>
    </w:p>
    <w:p w:rsidR="00BA2720" w:rsidRPr="00BA2720" w:rsidRDefault="00BA2720" w:rsidP="00BA2720">
      <w:pPr>
        <w:spacing w:after="0" w:line="240" w:lineRule="auto"/>
        <w:jc w:val="lowKashida"/>
        <w:rPr>
          <w:rFonts w:ascii="Times New Roman" w:eastAsia="Times New Roman" w:hAnsi="Times New Roman" w:cs="Simplified Arabic"/>
          <w:sz w:val="28"/>
          <w:szCs w:val="24"/>
        </w:rPr>
      </w:pPr>
    </w:p>
    <w:p w:rsidR="00BA2720" w:rsidRPr="00BA2720" w:rsidRDefault="00BA2720" w:rsidP="00BA2720">
      <w:pPr>
        <w:spacing w:after="0" w:line="240" w:lineRule="auto"/>
        <w:jc w:val="lowKashida"/>
        <w:rPr>
          <w:rFonts w:ascii="Times New Roman" w:eastAsia="Times New Roman" w:hAnsi="Times New Roman" w:cs="Simplified Arabic"/>
          <w:b/>
          <w:bCs/>
          <w:sz w:val="28"/>
          <w:szCs w:val="24"/>
        </w:rPr>
      </w:pPr>
      <w:r w:rsidRPr="00BA2720">
        <w:rPr>
          <w:rFonts w:ascii="Simplified Arabic" w:eastAsia="Times New Roman" w:hAnsi="Simplified Arabic" w:cs="Simplified Arabic"/>
          <w:b/>
          <w:bCs/>
          <w:sz w:val="32"/>
          <w:szCs w:val="32"/>
          <w:rtl/>
        </w:rPr>
        <w:t xml:space="preserve">(5) </w:t>
      </w:r>
      <w:r w:rsidRPr="00BA2720">
        <w:rPr>
          <w:rFonts w:ascii="Simplified Arabic" w:eastAsia="Times New Roman" w:hAnsi="Simplified Arabic" w:cs="Simplified Arabic"/>
          <w:b/>
          <w:bCs/>
          <w:sz w:val="28"/>
          <w:szCs w:val="24"/>
          <w:rtl/>
        </w:rPr>
        <w:t xml:space="preserve">   دعوى </w:t>
      </w:r>
    </w:p>
    <w:p w:rsidR="00BA2720" w:rsidRPr="00BA2720" w:rsidRDefault="00BA2720" w:rsidP="00BA2720">
      <w:pPr>
        <w:spacing w:after="0" w:line="240" w:lineRule="auto"/>
        <w:jc w:val="lowKashida"/>
        <w:rPr>
          <w:rFonts w:ascii="Times New Roman" w:eastAsia="Times New Roman" w:hAnsi="Times New Roman" w:cs="Simplified Arabic"/>
          <w:sz w:val="28"/>
          <w:szCs w:val="28"/>
        </w:rPr>
      </w:pPr>
      <w:r w:rsidRPr="00BA2720">
        <w:rPr>
          <w:rFonts w:ascii="Times New Roman" w:eastAsia="Times New Roman" w:hAnsi="Times New Roman" w:cs="Simplified Arabic"/>
          <w:sz w:val="28"/>
          <w:szCs w:val="28"/>
        </w:rPr>
        <w:t>-</w:t>
      </w:r>
      <w:r w:rsidRPr="00BA2720">
        <w:rPr>
          <w:rFonts w:ascii="Simplified Arabic" w:eastAsia="Times New Roman" w:hAnsi="Simplified Arabic" w:cs="Simplified Arabic"/>
          <w:sz w:val="28"/>
          <w:szCs w:val="28"/>
          <w:rtl/>
        </w:rPr>
        <w:t xml:space="preserve"> الدفع بانقضاء الخصومة وجوب إبدائه قبل التعرض للموضوع لا تملك المحكمة القضاء به من تلقاء نفسها</w:t>
      </w:r>
    </w:p>
    <w:p w:rsidR="00BA2720" w:rsidRPr="00BA2720" w:rsidRDefault="00BA2720" w:rsidP="00BA2720">
      <w:pPr>
        <w:spacing w:after="0" w:line="240" w:lineRule="auto"/>
        <w:jc w:val="center"/>
        <w:rPr>
          <w:rFonts w:ascii="Times New Roman" w:eastAsia="Times New Roman" w:hAnsi="Times New Roman" w:cs="PT Bold Heading"/>
          <w:b/>
          <w:bCs/>
          <w:color w:val="008000"/>
          <w:sz w:val="32"/>
          <w:szCs w:val="32"/>
          <w:lang w:eastAsia="ar-SA"/>
        </w:rPr>
      </w:pPr>
      <w:r w:rsidRPr="00BA2720">
        <w:rPr>
          <w:rFonts w:ascii="Times New Roman" w:eastAsia="Times New Roman" w:hAnsi="Times New Roman" w:cs="PT Bold Heading" w:hint="cs"/>
          <w:b/>
          <w:bCs/>
          <w:color w:val="008000"/>
          <w:sz w:val="32"/>
          <w:szCs w:val="32"/>
          <w:rtl/>
          <w:lang w:eastAsia="ar-SA"/>
        </w:rPr>
        <w:t>القاعدة</w:t>
      </w:r>
    </w:p>
    <w:p w:rsidR="00BA2720" w:rsidRPr="00BA2720" w:rsidRDefault="00BA2720" w:rsidP="00BA2720">
      <w:pPr>
        <w:spacing w:after="0" w:line="240" w:lineRule="auto"/>
        <w:jc w:val="lowKashida"/>
        <w:rPr>
          <w:rFonts w:ascii="Times New Roman" w:eastAsia="Times New Roman" w:hAnsi="Times New Roman" w:cs="Simplified Arabic" w:hint="cs"/>
          <w:sz w:val="28"/>
          <w:szCs w:val="28"/>
          <w:rtl/>
        </w:rPr>
      </w:pPr>
      <w:r w:rsidRPr="00BA2720">
        <w:rPr>
          <w:rFonts w:ascii="Simplified Arabic" w:eastAsia="Times New Roman" w:hAnsi="Simplified Arabic" w:cs="Simplified Arabic"/>
          <w:sz w:val="28"/>
          <w:szCs w:val="28"/>
          <w:rtl/>
        </w:rPr>
        <w:t>1- لا يجوز - و على ما جرى به قضاء هذه المحكمة - أن تتصدى المحكمة لعلاقة الخصوم بوكلائهم إلا إذا أنكر صاحب الشأن ، وكالة وكيله فإذا باشر المحامى إجراء قبل أن يستصدر توكيلاً له من ذى الشأن الذى كلفه بالعمل فلا يعترض عليه بأن وكالته لم تكن ثابتة قبل إتخاذ الإجراء ما لم ينص القانون على خلاف ذلك .</w:t>
      </w:r>
    </w:p>
    <w:p w:rsidR="00BA2720" w:rsidRPr="00BA2720" w:rsidRDefault="00BA2720" w:rsidP="00BA2720">
      <w:pPr>
        <w:spacing w:after="0" w:line="240" w:lineRule="auto"/>
        <w:jc w:val="lowKashida"/>
        <w:rPr>
          <w:rFonts w:ascii="Times New Roman" w:eastAsia="Times New Roman" w:hAnsi="Times New Roman" w:cs="Simplified Arabic"/>
          <w:sz w:val="28"/>
          <w:szCs w:val="28"/>
        </w:rPr>
      </w:pPr>
    </w:p>
    <w:p w:rsidR="00BA2720" w:rsidRPr="00BA2720" w:rsidRDefault="00BA2720" w:rsidP="00BA2720">
      <w:pPr>
        <w:spacing w:after="0" w:line="240" w:lineRule="auto"/>
        <w:jc w:val="lowKashida"/>
        <w:rPr>
          <w:rFonts w:ascii="Times New Roman" w:eastAsia="Times New Roman" w:hAnsi="Times New Roman" w:cs="Simplified Arabic"/>
          <w:sz w:val="28"/>
          <w:szCs w:val="28"/>
        </w:rPr>
      </w:pPr>
      <w:r w:rsidRPr="00BA2720">
        <w:rPr>
          <w:rFonts w:ascii="Simplified Arabic" w:eastAsia="Times New Roman" w:hAnsi="Simplified Arabic" w:cs="Simplified Arabic"/>
          <w:sz w:val="28"/>
          <w:szCs w:val="28"/>
          <w:rtl/>
        </w:rPr>
        <w:lastRenderedPageBreak/>
        <w:t>2- لم يتطلب االقانون أن يكون بيد المحامى الذى يحرر صحيفة تجديد السير فى الدعوى بعد شطبها توكيل من ذى الشأن عند تحرير صحيفة التجديد و إعلانها ، و من ثم فإنه  لا يوثر على سلامة الإجراء الموجه من المدعيتين " المطعون عليهما " بتجديد السير فى الدعوى عدم ثبوت وكالة الأستاذ .......... المحامى عن إحداهما و المطعون عليها الثانية ، وقت تحرير صحيفة التجديد و إعلانها أو ما قرره هذا المحامى بجلسة ...... أمام محكمة أول درجة من أن وكالته غير ثابتة إلا من المطعون فقط ، وذلك أنه لا يلزم فى هذا العمل أن تكون وكالته عن المطعون عليها الثانية ثابتة قبل القيام به ، فإذا قام و لم يكن بيده توكيل عنها أعتبر صحيحاً منتجاً لكل آثاره ، و لأن القانون لا يستلزم ثبوت وكالة الوكيل عن موكله وفقاً لأحكام قانون المحاماة إلا فى الحضور عنه أمام المحكمة كنص المادة 73 من قانون المرافعات .</w:t>
      </w:r>
    </w:p>
    <w:p w:rsidR="00BA2720" w:rsidRPr="00BA2720" w:rsidRDefault="00BA2720" w:rsidP="00BA2720">
      <w:pPr>
        <w:spacing w:after="0" w:line="240" w:lineRule="auto"/>
        <w:jc w:val="lowKashida"/>
        <w:rPr>
          <w:rFonts w:ascii="Times New Roman" w:eastAsia="Times New Roman" w:hAnsi="Times New Roman" w:cs="Simplified Arabic"/>
          <w:sz w:val="28"/>
          <w:szCs w:val="28"/>
        </w:rPr>
      </w:pPr>
    </w:p>
    <w:p w:rsidR="00BA2720" w:rsidRPr="00BA2720" w:rsidRDefault="00BA2720" w:rsidP="00BA2720">
      <w:pPr>
        <w:spacing w:after="0" w:line="240" w:lineRule="auto"/>
        <w:jc w:val="lowKashida"/>
        <w:rPr>
          <w:rFonts w:ascii="Times New Roman" w:eastAsia="Times New Roman" w:hAnsi="Times New Roman" w:cs="Simplified Arabic"/>
          <w:sz w:val="28"/>
          <w:szCs w:val="28"/>
        </w:rPr>
      </w:pPr>
      <w:r w:rsidRPr="00BA2720">
        <w:rPr>
          <w:rFonts w:ascii="Simplified Arabic" w:eastAsia="Times New Roman" w:hAnsi="Simplified Arabic" w:cs="Simplified Arabic"/>
          <w:sz w:val="28"/>
          <w:szCs w:val="28"/>
          <w:rtl/>
        </w:rPr>
        <w:t>3- من المقرر - و على ما جرى به قضاء هذه المحكمة - أن إغفال الحكم ذكر وجه دفاع أبداه الخصم لا يترتب عليه بطلان الحكم إلا إذا كان هذا الدفاع جوهرياً و مؤثراً فى النتيجة التى إنتهى إليها الحكم ، بمعنى أن المحكمة لو كانت  قد بحثته لما إنتهت إلى هذه النتيجة إذ يعتبر عدم تحقيق هذا الدفاع قصوراً فى أسباب الحكم الواقعية مما يترتب عليه البطلان طبقاً للمادة 178 من قانون المرافعات .</w:t>
      </w:r>
    </w:p>
    <w:p w:rsidR="00BA2720" w:rsidRPr="00BA2720" w:rsidRDefault="00BA2720" w:rsidP="00BA2720">
      <w:pPr>
        <w:spacing w:after="0" w:line="240" w:lineRule="auto"/>
        <w:jc w:val="lowKashida"/>
        <w:rPr>
          <w:rFonts w:ascii="Times New Roman" w:eastAsia="Times New Roman" w:hAnsi="Times New Roman" w:cs="Simplified Arabic"/>
          <w:sz w:val="28"/>
          <w:szCs w:val="28"/>
        </w:rPr>
      </w:pPr>
    </w:p>
    <w:p w:rsidR="00BA2720" w:rsidRPr="00BA2720" w:rsidRDefault="00BA2720" w:rsidP="00BA2720">
      <w:pPr>
        <w:spacing w:after="0" w:line="240" w:lineRule="auto"/>
        <w:jc w:val="lowKashida"/>
        <w:rPr>
          <w:rFonts w:ascii="Times New Roman" w:eastAsia="Times New Roman" w:hAnsi="Times New Roman" w:cs="Simplified Arabic"/>
          <w:sz w:val="28"/>
          <w:szCs w:val="28"/>
        </w:rPr>
      </w:pPr>
      <w:r w:rsidRPr="00BA2720">
        <w:rPr>
          <w:rFonts w:ascii="Simplified Arabic" w:eastAsia="Times New Roman" w:hAnsi="Simplified Arabic" w:cs="Simplified Arabic"/>
          <w:sz w:val="28"/>
          <w:szCs w:val="28"/>
          <w:rtl/>
        </w:rPr>
        <w:t>4- من المقرر طبقاً لنص الفقرة الثانية من المادة 82 من قانون المرافعات و على ما   أفصحت عنه المذكرة الإيضاحية لها - أنه إذا تعدد المدعون و تغيب بعضهم و حضر البعض الآخر فلا يؤثر غياب البعض على نظر الدعوى ، و إنما تستمر المحكمة فى نظرها على تقدير علم المدعين بقيامها بالجلسة المحددة لنظرها و أنهم أيدوا أقوالهم و طلباتهم فى صحيفتها ، و إذ كان لا يؤثر على سلامة إجراء تجديد السير فى الدعوى بعد شطبها - و على نحو ما سلف الرد به على السبب الأول - ألا تكون وكالة المحامى الذى حرر صحيفة التحديد عن المطعون عليها الثانية ثابتة له قبل قيامه بهذا العمل ، فإن الحكم المطعون فيه إذ لم يجب الطاعن إلى طلب شطب الدعوى بالنسبة للمدعية الثانية " المطعون عليها الثانية " لعدم حضورها أو حضور من ينوب عنها قانوناً بالجلسة المحددة لنظرها بعد تجديد السير فيها و قد حضر محام بالجلسة المذكورة عن المدعيه الأولى " المطعون عليها الأولى " إعمالاً للفقرة الثانية من المادة 82 من قانون المرافعات ، يكون قد أصاب صحيح القانون و لا يقدح فى ذلك ما أثاره الطاعن بوجه النعى من أن المطعون عليها الثانية غادرت البلاد و لا تعلم شيئاً عن تجديد السير فى الدعوى فهو فضلاً عن أنه عار عن الدليل ، فإن الأثر الذى قد يترتب عليه - إن صح - إنما يتعلق بالمطعون عليها المذكورة ، و ليس للطاعن التحدى به .</w:t>
      </w:r>
    </w:p>
    <w:p w:rsidR="00BA2720" w:rsidRPr="00BA2720" w:rsidRDefault="00BA2720" w:rsidP="00BA2720">
      <w:pPr>
        <w:spacing w:after="0" w:line="240" w:lineRule="auto"/>
        <w:jc w:val="lowKashida"/>
        <w:rPr>
          <w:rFonts w:ascii="Times New Roman" w:eastAsia="Times New Roman" w:hAnsi="Times New Roman" w:cs="Simplified Arabic"/>
          <w:sz w:val="28"/>
          <w:szCs w:val="28"/>
        </w:rPr>
      </w:pPr>
    </w:p>
    <w:p w:rsidR="00BA2720" w:rsidRPr="00BA2720" w:rsidRDefault="00BA2720" w:rsidP="00BA2720">
      <w:pPr>
        <w:spacing w:after="0" w:line="240" w:lineRule="auto"/>
        <w:jc w:val="lowKashida"/>
        <w:rPr>
          <w:rFonts w:ascii="Times New Roman" w:eastAsia="Times New Roman" w:hAnsi="Times New Roman" w:cs="Simplified Arabic"/>
          <w:sz w:val="28"/>
          <w:szCs w:val="28"/>
        </w:rPr>
      </w:pPr>
      <w:r w:rsidRPr="00BA2720">
        <w:rPr>
          <w:rFonts w:ascii="Simplified Arabic" w:eastAsia="Times New Roman" w:hAnsi="Simplified Arabic" w:cs="Simplified Arabic"/>
          <w:sz w:val="28"/>
          <w:szCs w:val="28"/>
          <w:rtl/>
        </w:rPr>
        <w:t>5- الدفع بإنقضاء الخصومة شأنه شأن الدفع بسقوط الخصومة من حيث وجوب إبدائه و  التمسك به من صاحب المصلحة فيه قبل التعرض للموضوع و لا تملك المحكمة أن تقضى به من تلقاء نفسها ، فإن تمسك به صاحب الشأن و كانت شروطه قد توفرت وجب عليها أن تقضى به ما لم يكن حقه فى التمسك به قد سقط بالتعرض للموضوع .</w:t>
      </w:r>
    </w:p>
    <w:p w:rsidR="00BA2720" w:rsidRPr="00BA2720" w:rsidRDefault="00BA2720" w:rsidP="00BA2720">
      <w:pPr>
        <w:spacing w:after="0" w:line="240" w:lineRule="auto"/>
        <w:jc w:val="lowKashida"/>
        <w:rPr>
          <w:rFonts w:ascii="Times New Roman" w:eastAsia="Times New Roman" w:hAnsi="Times New Roman" w:cs="Simplified Arabic"/>
          <w:sz w:val="28"/>
          <w:szCs w:val="28"/>
        </w:rPr>
      </w:pPr>
    </w:p>
    <w:p w:rsidR="00BA2720" w:rsidRPr="00BA2720" w:rsidRDefault="00BA2720" w:rsidP="00BA2720">
      <w:pPr>
        <w:spacing w:after="0" w:line="240" w:lineRule="auto"/>
        <w:jc w:val="center"/>
        <w:rPr>
          <w:rFonts w:ascii="Times New Roman" w:eastAsia="Times New Roman" w:hAnsi="Times New Roman" w:cs="Simplified Arabic"/>
          <w:sz w:val="24"/>
          <w:szCs w:val="24"/>
        </w:rPr>
      </w:pPr>
      <w:r w:rsidRPr="00BA2720">
        <w:rPr>
          <w:rFonts w:ascii="Simplified Arabic" w:eastAsia="Times New Roman" w:hAnsi="Simplified Arabic" w:cs="Simplified Arabic"/>
          <w:sz w:val="24"/>
          <w:szCs w:val="24"/>
          <w:rtl/>
        </w:rPr>
        <w:t>" سنة المكتب الفنى "  30 " رقم الصفحة -   -  قاعدة رقم –   -  "</w:t>
      </w:r>
    </w:p>
    <w:p w:rsidR="00BA2720" w:rsidRPr="00BA2720" w:rsidRDefault="00BA2720" w:rsidP="00BA2720">
      <w:pPr>
        <w:spacing w:after="0" w:line="240" w:lineRule="auto"/>
        <w:rPr>
          <w:rFonts w:ascii="Times New Roman" w:eastAsia="Times New Roman" w:hAnsi="Times New Roman" w:cs="Times New Roman"/>
          <w:sz w:val="24"/>
          <w:szCs w:val="24"/>
        </w:rPr>
      </w:pPr>
    </w:p>
    <w:p w:rsidR="006173AA" w:rsidRPr="00BA2720" w:rsidRDefault="006173AA">
      <w:bookmarkStart w:id="0" w:name="_GoBack"/>
      <w:bookmarkEnd w:id="0"/>
    </w:p>
    <w:sectPr w:rsidR="006173AA" w:rsidRPr="00BA2720"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45C"/>
    <w:rsid w:val="0003272B"/>
    <w:rsid w:val="0015145C"/>
    <w:rsid w:val="006173AA"/>
    <w:rsid w:val="00BA27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96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535</Words>
  <Characters>3052</Characters>
  <Application>Microsoft Office Word</Application>
  <DocSecurity>0</DocSecurity>
  <Lines>25</Lines>
  <Paragraphs>7</Paragraphs>
  <ScaleCrop>false</ScaleCrop>
  <Company/>
  <LinksUpToDate>false</LinksUpToDate>
  <CharactersWithSpaces>3580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2020-06-08T09:08:00Z</dcterms:created>
  <dcterms:modified xsi:type="dcterms:W3CDTF">2020-06-08T09:08:00Z</dcterms:modified>
</cp:coreProperties>
</file>