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EA" w:rsidRPr="00A132EA" w:rsidRDefault="00A132EA" w:rsidP="00A132E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132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105 لسنة 46 ق </w:t>
      </w:r>
      <w:r w:rsidRPr="00A132E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132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31-5-1979</w:t>
      </w:r>
    </w:p>
    <w:p w:rsidR="00A132EA" w:rsidRPr="00A132EA" w:rsidRDefault="00A132EA" w:rsidP="00A132E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132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132E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132E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132E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إعلان 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proofErr w:type="gramStart"/>
      <w:r w:rsidRPr="00A132E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132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علم الطاعن بوفاة خصمه أثناء نظر الإستئناف وصدور الحكم لصالح ورثته إختصامه للمتوفى دون ورثته فى الطعن بالنقض.</w:t>
      </w:r>
      <w:proofErr w:type="gramEnd"/>
      <w:r w:rsidRPr="00A132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عدم إنعقاد الخصومة وبطلان الطعن لا يغير من ذلك إعلان الورثة من بعد بصحيفة الطعن .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132EA" w:rsidRPr="00A132EA" w:rsidRDefault="00A132EA" w:rsidP="00A132E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A132E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A132E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132E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بطلان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132E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132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الأشخاص الواجب إختصامهم فى دعوى الشفعة بطلان الطعن بالنقض بالنسبة </w:t>
      </w:r>
      <w:proofErr w:type="gramStart"/>
      <w:r w:rsidRPr="00A132EA">
        <w:rPr>
          <w:rFonts w:ascii="Simplified Arabic" w:eastAsia="Times New Roman" w:hAnsi="Simplified Arabic" w:cs="Simplified Arabic"/>
          <w:sz w:val="28"/>
          <w:szCs w:val="28"/>
          <w:rtl/>
        </w:rPr>
        <w:t>لأحدهم .</w:t>
      </w:r>
      <w:proofErr w:type="gramEnd"/>
      <w:r w:rsidRPr="00A132E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بطلانه بالنسبة للآخرين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A132EA" w:rsidRPr="00A132EA" w:rsidRDefault="00A132EA" w:rsidP="00A132E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A132E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A132EA">
        <w:rPr>
          <w:rFonts w:ascii="Simplified Arabic" w:eastAsia="Times New Roman" w:hAnsi="Simplified Arabic" w:cs="Simplified Arabic"/>
          <w:sz w:val="28"/>
          <w:szCs w:val="28"/>
          <w:rtl/>
        </w:rPr>
        <w:t>1- الأصل أن تقوم الخصومة صحيحة بين طرفيها من الأحياء فلا تنعقد أصلاً إلا بين أشخاص موجودين على قيد الحياة و إلا كانت معدومة لا ترتب أثراً و لا يصححها إجراء لاحق ، و على من يريد عقد الخصومة أن يراقب ما يطرأ على خصومة من وفاة أو تغير فى الصفة قبل إختصامهم ، و إذ كان الثابت من الصورة الرسمية للحكم المطعون فيه المقدمة من الطاعن أنه ورد فى ديباجة الحكم أن المطعون عليه الثانى ، توفى إلى رحمة الله أثناء نظر الإستئناف و حل محله ورثته ، و رغم علم الطاعن بوفاته ، فإنه قد إختصمه بشخصه فى صحيفة الطعن دون ذكر لأسماء ورثته ، الأمر الذى لا تكون معه الخصومة فى الطعن قد إنعقدت ، لا يغير من ذلك إعلان ورثته بصحيفة الطعن بعد ورودها غير معلنة له لوفاته ، ذلك أنه يلزم لصحة الطعن إشتمال صحيفته على أسماء الخصوم و إلا كان باطلاً كنص المادة 253 من قانون المرافعات .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132EA">
        <w:rPr>
          <w:rFonts w:ascii="Simplified Arabic" w:eastAsia="Times New Roman" w:hAnsi="Simplified Arabic" w:cs="Simplified Arabic"/>
          <w:sz w:val="28"/>
          <w:szCs w:val="28"/>
          <w:rtl/>
        </w:rPr>
        <w:t>2- الخصومة فى دعوى الشفعة لا تنعقد إلا بإختصام البائع و المشترى و الشفيع أو ورثة من يتوفى منهم فى جميع مراحل التقاضى بما فيها الطعن بالنقض و من ثم فإن بطلان الطعن بالنسبة لأحدهم يستتبع بطلانه بالنسبة للباقين .</w:t>
      </w:r>
    </w:p>
    <w:p w:rsidR="00A132EA" w:rsidRPr="00A132EA" w:rsidRDefault="00A132EA" w:rsidP="00A132E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132EA" w:rsidRPr="00A132EA" w:rsidRDefault="00A132EA" w:rsidP="00A132E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A132E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- 493  -  قاعدة رقم –   -  "</w:t>
      </w:r>
    </w:p>
    <w:p w:rsidR="00A132EA" w:rsidRPr="00A132EA" w:rsidRDefault="00A132EA" w:rsidP="00A13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A132EA" w:rsidRDefault="006173AA">
      <w:bookmarkStart w:id="0" w:name="_GoBack"/>
      <w:bookmarkEnd w:id="0"/>
    </w:p>
    <w:sectPr w:rsidR="006173AA" w:rsidRPr="00A132E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AB"/>
    <w:rsid w:val="0003272B"/>
    <w:rsid w:val="003523AB"/>
    <w:rsid w:val="006173AA"/>
    <w:rsid w:val="00A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2020-06-08T09:07:00Z</dcterms:created>
  <dcterms:modified xsi:type="dcterms:W3CDTF">2020-06-08T09:07:00Z</dcterms:modified>
</cp:coreProperties>
</file>