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B4" w:rsidRPr="004844B4" w:rsidRDefault="004844B4" w:rsidP="004844B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844B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76 لسنة 47 ق - جلسة 2-6-1979</w:t>
      </w:r>
    </w:p>
    <w:p w:rsidR="004844B4" w:rsidRPr="004844B4" w:rsidRDefault="004844B4" w:rsidP="004844B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844B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844B4" w:rsidRPr="004844B4" w:rsidRDefault="004844B4" w:rsidP="004844B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844B4" w:rsidRPr="004844B4" w:rsidRDefault="004844B4" w:rsidP="004844B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844B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844B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844B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حراسة</w:t>
      </w:r>
    </w:p>
    <w:p w:rsidR="004844B4" w:rsidRPr="004844B4" w:rsidRDefault="004844B4" w:rsidP="004844B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844B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844B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فرض الحراسة الإدارية على أموال أحد </w:t>
      </w:r>
      <w:proofErr w:type="gramStart"/>
      <w:r w:rsidRPr="004844B4">
        <w:rPr>
          <w:rFonts w:ascii="Simplified Arabic" w:eastAsia="Times New Roman" w:hAnsi="Simplified Arabic" w:cs="Simplified Arabic"/>
          <w:sz w:val="28"/>
          <w:szCs w:val="28"/>
          <w:rtl/>
        </w:rPr>
        <w:t>الأشخاص .</w:t>
      </w:r>
      <w:proofErr w:type="gramEnd"/>
      <w:r w:rsidRPr="004844B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إعتبار الحارس العام نائبا قانونيا فى إدارة أمواله وتمثيله أمام القضاء إستمرار صفته هذه بعد إنتهاء الحراسة وحتى تسليم الأموال فعلا لصاحبها .</w:t>
      </w:r>
    </w:p>
    <w:p w:rsidR="004844B4" w:rsidRPr="004844B4" w:rsidRDefault="004844B4" w:rsidP="004844B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844B4" w:rsidRPr="004844B4" w:rsidRDefault="004844B4" w:rsidP="004844B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844B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844B4" w:rsidRPr="004844B4" w:rsidRDefault="004844B4" w:rsidP="004844B4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4844B4">
        <w:rPr>
          <w:rFonts w:ascii="Simplified Arabic" w:eastAsia="Times New Roman" w:hAnsi="Simplified Arabic" w:cs="Simplified Arabic"/>
          <w:sz w:val="28"/>
          <w:szCs w:val="28"/>
          <w:rtl/>
        </w:rPr>
        <w:t>1- فرض الحراسة الإدارية على أموال و ممتلكات أحد الأشخاص يترتب عليه أن يتولى الحارس العام إدارة أموالة و تمثيلة أمام القضاء ، و أن مقتضى إنهاء الحراسة أن يعود حق القاضى إلى هذا الشخص إلا أن المشرع تصور أن هناك فترة تمضى بين إنهاء الحراسة حكماً و بين إنتهائها فعلاً بتسليم الذى كان خاضعاً للحراسة أمواله ، و فى هذه الفترة يتولى الحارس أمر هذه الأموال لحين تسليمها لصاحبها و بذلك أناب المشرع الحارس على تلك الأموال نيابة قانونية فى إدارتها و ما يستتبع ذلك من حق التقاضى فيما ينشأ عن أعمال إدارتها من منازعات إلى أن يتم تسليمها لصاحبها .</w:t>
      </w:r>
    </w:p>
    <w:p w:rsidR="004844B4" w:rsidRPr="004844B4" w:rsidRDefault="004844B4" w:rsidP="004844B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844B4" w:rsidRPr="004844B4" w:rsidRDefault="004844B4" w:rsidP="004844B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4844B4" w:rsidRPr="004844B4" w:rsidRDefault="004844B4" w:rsidP="004844B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4844B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- 523  -  قاعدة رقم –   -  "</w:t>
      </w:r>
    </w:p>
    <w:p w:rsidR="004844B4" w:rsidRPr="004844B4" w:rsidRDefault="004844B4" w:rsidP="004844B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4844B4" w:rsidRPr="004844B4" w:rsidRDefault="004844B4" w:rsidP="00484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A"/>
    <w:rsid w:val="0003272B"/>
    <w:rsid w:val="004844B4"/>
    <w:rsid w:val="006173AA"/>
    <w:rsid w:val="007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2020-06-08T09:48:00Z</dcterms:created>
  <dcterms:modified xsi:type="dcterms:W3CDTF">2020-06-08T09:48:00Z</dcterms:modified>
</cp:coreProperties>
</file>