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6A" w:rsidRPr="0021666A" w:rsidRDefault="0021666A" w:rsidP="0021666A">
      <w:pPr>
        <w:spacing w:after="0" w:line="240" w:lineRule="auto"/>
        <w:jc w:val="center"/>
        <w:rPr>
          <w:rFonts w:ascii="Times New Roman" w:eastAsia="Times New Roman" w:hAnsi="Times New Roman" w:cs="PT Bold Heading"/>
          <w:b/>
          <w:bCs/>
          <w:color w:val="008000"/>
          <w:sz w:val="32"/>
          <w:szCs w:val="32"/>
          <w:lang w:eastAsia="ar-SA"/>
        </w:rPr>
      </w:pPr>
      <w:r w:rsidRPr="0021666A">
        <w:rPr>
          <w:rFonts w:ascii="Times New Roman" w:eastAsia="Times New Roman" w:hAnsi="Times New Roman" w:cs="PT Bold Heading" w:hint="cs"/>
          <w:b/>
          <w:bCs/>
          <w:color w:val="008000"/>
          <w:sz w:val="32"/>
          <w:szCs w:val="32"/>
          <w:rtl/>
          <w:lang w:eastAsia="ar-SA"/>
        </w:rPr>
        <w:t xml:space="preserve">الطعن رقم 35 لسنة 47 ق </w:t>
      </w:r>
      <w:r w:rsidRPr="0021666A">
        <w:rPr>
          <w:rFonts w:ascii="Times New Roman" w:eastAsia="Times New Roman" w:hAnsi="Times New Roman" w:cs="Times New Roman" w:hint="cs"/>
          <w:b/>
          <w:bCs/>
          <w:color w:val="008000"/>
          <w:sz w:val="32"/>
          <w:szCs w:val="32"/>
          <w:rtl/>
          <w:lang w:eastAsia="ar-SA"/>
        </w:rPr>
        <w:t>-</w:t>
      </w:r>
      <w:r w:rsidRPr="0021666A">
        <w:rPr>
          <w:rFonts w:ascii="Times New Roman" w:eastAsia="Times New Roman" w:hAnsi="Times New Roman" w:cs="PT Bold Heading" w:hint="cs"/>
          <w:b/>
          <w:bCs/>
          <w:color w:val="008000"/>
          <w:sz w:val="32"/>
          <w:szCs w:val="32"/>
          <w:rtl/>
          <w:lang w:eastAsia="ar-SA"/>
        </w:rPr>
        <w:t xml:space="preserve">  جلسة 6-6-1979</w:t>
      </w:r>
    </w:p>
    <w:p w:rsidR="0021666A" w:rsidRPr="0021666A" w:rsidRDefault="0021666A" w:rsidP="0021666A">
      <w:pPr>
        <w:spacing w:after="0" w:line="240" w:lineRule="auto"/>
        <w:jc w:val="center"/>
        <w:rPr>
          <w:rFonts w:ascii="Times New Roman" w:eastAsia="Times New Roman" w:hAnsi="Times New Roman" w:cs="PT Bold Heading"/>
          <w:b/>
          <w:bCs/>
          <w:color w:val="008000"/>
          <w:sz w:val="32"/>
          <w:szCs w:val="32"/>
          <w:lang w:eastAsia="ar-SA"/>
        </w:rPr>
      </w:pPr>
      <w:r w:rsidRPr="0021666A">
        <w:rPr>
          <w:rFonts w:ascii="Times New Roman" w:eastAsia="Times New Roman" w:hAnsi="Times New Roman" w:cs="PT Bold Heading" w:hint="cs"/>
          <w:b/>
          <w:bCs/>
          <w:color w:val="008000"/>
          <w:sz w:val="32"/>
          <w:szCs w:val="32"/>
          <w:rtl/>
          <w:lang w:eastAsia="ar-SA"/>
        </w:rPr>
        <w:t>الموضوع ،  و  الموجز :</w:t>
      </w:r>
    </w:p>
    <w:p w:rsidR="0021666A" w:rsidRPr="0021666A" w:rsidRDefault="0021666A" w:rsidP="0021666A">
      <w:pPr>
        <w:spacing w:after="0" w:line="240" w:lineRule="auto"/>
        <w:jc w:val="lowKashida"/>
        <w:rPr>
          <w:rFonts w:ascii="Times New Roman" w:eastAsia="Times New Roman" w:hAnsi="Times New Roman" w:cs="Simplified Arabic"/>
          <w:b/>
          <w:bCs/>
          <w:sz w:val="32"/>
          <w:szCs w:val="32"/>
        </w:rPr>
      </w:pPr>
    </w:p>
    <w:p w:rsidR="0021666A" w:rsidRPr="0021666A" w:rsidRDefault="0021666A" w:rsidP="0021666A">
      <w:pPr>
        <w:spacing w:after="0" w:line="240" w:lineRule="auto"/>
        <w:jc w:val="lowKashida"/>
        <w:rPr>
          <w:rFonts w:ascii="Times New Roman" w:eastAsia="Times New Roman" w:hAnsi="Times New Roman" w:cs="Simplified Arabic"/>
          <w:b/>
          <w:bCs/>
          <w:sz w:val="28"/>
          <w:szCs w:val="28"/>
        </w:rPr>
      </w:pPr>
      <w:r w:rsidRPr="0021666A">
        <w:rPr>
          <w:rFonts w:ascii="Simplified Arabic" w:eastAsia="Times New Roman" w:hAnsi="Simplified Arabic" w:cs="Simplified Arabic"/>
          <w:b/>
          <w:bCs/>
          <w:sz w:val="32"/>
          <w:szCs w:val="32"/>
          <w:rtl/>
        </w:rPr>
        <w:t xml:space="preserve">(1) </w:t>
      </w:r>
      <w:r w:rsidRPr="0021666A">
        <w:rPr>
          <w:rFonts w:ascii="Simplified Arabic" w:eastAsia="Times New Roman" w:hAnsi="Simplified Arabic" w:cs="Simplified Arabic"/>
          <w:b/>
          <w:bCs/>
          <w:sz w:val="28"/>
          <w:szCs w:val="24"/>
          <w:rtl/>
        </w:rPr>
        <w:t xml:space="preserve">   </w:t>
      </w:r>
      <w:r w:rsidRPr="0021666A">
        <w:rPr>
          <w:rFonts w:ascii="Simplified Arabic" w:eastAsia="Times New Roman" w:hAnsi="Simplified Arabic" w:cs="Simplified Arabic"/>
          <w:b/>
          <w:bCs/>
          <w:sz w:val="28"/>
          <w:szCs w:val="28"/>
          <w:rtl/>
        </w:rPr>
        <w:t>حراسة</w:t>
      </w:r>
    </w:p>
    <w:p w:rsidR="0021666A" w:rsidRPr="0021666A" w:rsidRDefault="0021666A" w:rsidP="0021666A">
      <w:pPr>
        <w:spacing w:after="0" w:line="240" w:lineRule="auto"/>
        <w:jc w:val="lowKashida"/>
        <w:rPr>
          <w:rFonts w:ascii="Times New Roman" w:eastAsia="Times New Roman" w:hAnsi="Times New Roman" w:cs="Simplified Arabic"/>
          <w:sz w:val="28"/>
          <w:szCs w:val="28"/>
        </w:rPr>
      </w:pPr>
      <w:r w:rsidRPr="0021666A">
        <w:rPr>
          <w:rFonts w:ascii="Times New Roman" w:eastAsia="Times New Roman" w:hAnsi="Times New Roman" w:cs="Simplified Arabic"/>
          <w:sz w:val="28"/>
          <w:szCs w:val="28"/>
        </w:rPr>
        <w:t>-</w:t>
      </w:r>
      <w:r w:rsidRPr="0021666A">
        <w:rPr>
          <w:rFonts w:ascii="Simplified Arabic" w:eastAsia="Times New Roman" w:hAnsi="Simplified Arabic" w:cs="Simplified Arabic"/>
          <w:sz w:val="28"/>
          <w:szCs w:val="28"/>
          <w:rtl/>
        </w:rPr>
        <w:t xml:space="preserve"> فرض الحراسة </w:t>
      </w:r>
      <w:proofErr w:type="gramStart"/>
      <w:r w:rsidRPr="0021666A">
        <w:rPr>
          <w:rFonts w:ascii="Simplified Arabic" w:eastAsia="Times New Roman" w:hAnsi="Simplified Arabic" w:cs="Simplified Arabic"/>
          <w:sz w:val="28"/>
          <w:szCs w:val="28"/>
          <w:rtl/>
        </w:rPr>
        <w:t>القضائية .</w:t>
      </w:r>
      <w:proofErr w:type="gramEnd"/>
      <w:r w:rsidRPr="0021666A">
        <w:rPr>
          <w:rFonts w:ascii="Simplified Arabic" w:eastAsia="Times New Roman" w:hAnsi="Simplified Arabic" w:cs="Simplified Arabic"/>
          <w:sz w:val="28"/>
          <w:szCs w:val="28"/>
          <w:rtl/>
        </w:rPr>
        <w:t xml:space="preserve"> شمولها المال محل الحراسة وتوابعه ولو لم ينص الحكم صراحة على ذلك . الحارس القضائى . هو صاحب الصفة فى المنازعة بشأن تبعية الشىء للأموال محل الحراسة من عدمه.</w:t>
      </w:r>
    </w:p>
    <w:p w:rsidR="0021666A" w:rsidRPr="0021666A" w:rsidRDefault="0021666A" w:rsidP="0021666A">
      <w:pPr>
        <w:spacing w:after="0" w:line="240" w:lineRule="auto"/>
        <w:jc w:val="lowKashida"/>
        <w:rPr>
          <w:rFonts w:ascii="Times New Roman" w:eastAsia="Times New Roman" w:hAnsi="Times New Roman" w:cs="Simplified Arabic"/>
          <w:b/>
          <w:bCs/>
          <w:sz w:val="28"/>
          <w:szCs w:val="24"/>
        </w:rPr>
      </w:pPr>
    </w:p>
    <w:p w:rsidR="0021666A" w:rsidRPr="0021666A" w:rsidRDefault="0021666A" w:rsidP="0021666A">
      <w:pPr>
        <w:spacing w:after="0" w:line="240" w:lineRule="auto"/>
        <w:jc w:val="center"/>
        <w:rPr>
          <w:rFonts w:ascii="Times New Roman" w:eastAsia="Times New Roman" w:hAnsi="Times New Roman" w:cs="PT Bold Heading"/>
          <w:b/>
          <w:bCs/>
          <w:color w:val="008000"/>
          <w:sz w:val="32"/>
          <w:szCs w:val="32"/>
          <w:lang w:eastAsia="ar-SA"/>
        </w:rPr>
      </w:pPr>
      <w:r w:rsidRPr="0021666A">
        <w:rPr>
          <w:rFonts w:ascii="Times New Roman" w:eastAsia="Times New Roman" w:hAnsi="Times New Roman" w:cs="PT Bold Heading" w:hint="cs"/>
          <w:b/>
          <w:bCs/>
          <w:color w:val="008000"/>
          <w:sz w:val="32"/>
          <w:szCs w:val="32"/>
          <w:rtl/>
          <w:lang w:eastAsia="ar-SA"/>
        </w:rPr>
        <w:t>القاعدة</w:t>
      </w:r>
    </w:p>
    <w:p w:rsidR="0021666A" w:rsidRPr="0021666A" w:rsidRDefault="0021666A" w:rsidP="0021666A">
      <w:pPr>
        <w:spacing w:after="0" w:line="240" w:lineRule="auto"/>
        <w:jc w:val="lowKashida"/>
        <w:rPr>
          <w:rFonts w:ascii="Times New Roman" w:eastAsia="Times New Roman" w:hAnsi="Times New Roman" w:cs="Simplified Arabic"/>
          <w:sz w:val="28"/>
          <w:szCs w:val="28"/>
        </w:rPr>
      </w:pPr>
      <w:r w:rsidRPr="0021666A">
        <w:rPr>
          <w:rFonts w:ascii="Simplified Arabic" w:eastAsia="Times New Roman" w:hAnsi="Simplified Arabic" w:cs="Simplified Arabic"/>
          <w:sz w:val="28"/>
          <w:szCs w:val="28"/>
          <w:rtl/>
        </w:rPr>
        <w:t>1- الحراسة تشتمل الشىء الأصلى المتنازع عليه و توابعه سواء نص على هذه التوابع فى الحكم صراحة أو لم ينص لأن دخولها تحت الحراسة مع الشىء المتنازع عليه إنما يحصل بقوة القانون و إذ كان النزاع حول تبعية الشىء للأموال محل الحراسة يتعلق بتجديد ما للحارس من سلطات و ما يقع على عاتقه من إلتزامات فإنه يكون وحده صاحب الصفة فى الدعاوى التى ترفع حسماً لهذا النزاع تبعاً لما تلقيه المادة 743 من التقنين المدنى من الإلتزام بالمخالفة على الأموال المعهودة إليه حراستها .</w:t>
      </w:r>
    </w:p>
    <w:p w:rsidR="0021666A" w:rsidRPr="0021666A" w:rsidRDefault="0021666A" w:rsidP="0021666A">
      <w:pPr>
        <w:spacing w:after="0" w:line="240" w:lineRule="auto"/>
        <w:jc w:val="lowKashida"/>
        <w:rPr>
          <w:rFonts w:ascii="Times New Roman" w:eastAsia="Times New Roman" w:hAnsi="Times New Roman" w:cs="Simplified Arabic"/>
          <w:sz w:val="28"/>
          <w:szCs w:val="28"/>
        </w:rPr>
      </w:pPr>
    </w:p>
    <w:p w:rsidR="0021666A" w:rsidRPr="0021666A" w:rsidRDefault="0021666A" w:rsidP="0021666A">
      <w:pPr>
        <w:spacing w:after="0" w:line="240" w:lineRule="auto"/>
        <w:jc w:val="center"/>
        <w:rPr>
          <w:rFonts w:ascii="Times New Roman" w:eastAsia="Times New Roman" w:hAnsi="Times New Roman" w:cs="Simplified Arabic"/>
          <w:sz w:val="24"/>
          <w:szCs w:val="24"/>
        </w:rPr>
      </w:pPr>
      <w:r w:rsidRPr="0021666A">
        <w:rPr>
          <w:rFonts w:ascii="Simplified Arabic" w:eastAsia="Times New Roman" w:hAnsi="Simplified Arabic" w:cs="Simplified Arabic"/>
          <w:sz w:val="24"/>
          <w:szCs w:val="24"/>
          <w:rtl/>
        </w:rPr>
        <w:t>" سنة المكتب الفنى "  30 " رقم الصفحة - 560  -  قاعدة رقم –   -  "</w:t>
      </w:r>
    </w:p>
    <w:p w:rsidR="0021666A" w:rsidRPr="0021666A" w:rsidRDefault="0021666A" w:rsidP="0021666A">
      <w:pPr>
        <w:spacing w:after="0" w:line="240" w:lineRule="auto"/>
        <w:rPr>
          <w:rFonts w:ascii="Times New Roman" w:eastAsia="Times New Roman" w:hAnsi="Times New Roman" w:cs="Times New Roman"/>
          <w:sz w:val="24"/>
          <w:szCs w:val="24"/>
        </w:rPr>
      </w:pPr>
    </w:p>
    <w:p w:rsidR="006173AA" w:rsidRPr="0021666A" w:rsidRDefault="006173AA">
      <w:bookmarkStart w:id="0" w:name="_GoBack"/>
      <w:bookmarkEnd w:id="0"/>
    </w:p>
    <w:sectPr w:rsidR="006173AA" w:rsidRPr="0021666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F9"/>
    <w:rsid w:val="0003272B"/>
    <w:rsid w:val="0021666A"/>
    <w:rsid w:val="006173AA"/>
    <w:rsid w:val="00C66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2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2020-06-08T09:44:00Z</dcterms:created>
  <dcterms:modified xsi:type="dcterms:W3CDTF">2020-06-08T09:44:00Z</dcterms:modified>
</cp:coreProperties>
</file>