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75" w:rsidRPr="00D82475" w:rsidRDefault="00D82475" w:rsidP="00D82475">
      <w:pPr>
        <w:jc w:val="center"/>
        <w:rPr>
          <w:sz w:val="32"/>
          <w:szCs w:val="32"/>
        </w:rPr>
      </w:pPr>
      <w:bookmarkStart w:id="0" w:name="Anchor1"/>
      <w:bookmarkEnd w:id="0"/>
      <w:r w:rsidRPr="00D82475">
        <w:rPr>
          <w:sz w:val="32"/>
          <w:szCs w:val="32"/>
          <w:rtl/>
        </w:rPr>
        <w:t>الطعن رقم 10 ل</w:t>
      </w:r>
      <w:bookmarkStart w:id="1" w:name="_GoBack"/>
      <w:bookmarkEnd w:id="1"/>
      <w:r w:rsidRPr="00D82475">
        <w:rPr>
          <w:sz w:val="32"/>
          <w:szCs w:val="32"/>
          <w:rtl/>
        </w:rPr>
        <w:t xml:space="preserve">سنة </w:t>
      </w:r>
      <w:r w:rsidRPr="00D82475">
        <w:rPr>
          <w:sz w:val="32"/>
          <w:szCs w:val="32"/>
        </w:rPr>
        <w:t>2010</w:t>
      </w:r>
    </w:p>
    <w:p w:rsidR="00D82475" w:rsidRPr="00D82475" w:rsidRDefault="00D82475" w:rsidP="00D82475">
      <w:pPr>
        <w:rPr>
          <w:sz w:val="32"/>
          <w:szCs w:val="32"/>
        </w:rPr>
      </w:pPr>
      <w:bookmarkStart w:id="2" w:name="Anchor8"/>
      <w:bookmarkEnd w:id="2"/>
      <w:r w:rsidRPr="00D82475">
        <w:rPr>
          <w:sz w:val="32"/>
          <w:szCs w:val="32"/>
          <w:rtl/>
        </w:rPr>
        <w:t>هيئة المحكمة</w:t>
      </w:r>
      <w:r w:rsidRPr="00D82475">
        <w:rPr>
          <w:sz w:val="32"/>
          <w:szCs w:val="32"/>
        </w:rPr>
        <w:t xml:space="preserve">: </w:t>
      </w:r>
      <w:r w:rsidRPr="00D82475">
        <w:rPr>
          <w:sz w:val="32"/>
          <w:szCs w:val="32"/>
          <w:rtl/>
        </w:rPr>
        <w:t>برئاسة السيد المستشار عبدالعزيز الفهد وكيل المحكمة وعضوية السادة المستشارين يوسف العران ومحمود التركاوي وعبدالرحمـن مطاوع وعطيه النادي</w:t>
      </w:r>
    </w:p>
    <w:bookmarkStart w:id="3" w:name="Anchor25"/>
    <w:bookmarkEnd w:id="3"/>
    <w:p w:rsidR="00D82475" w:rsidRPr="00D82475" w:rsidRDefault="00D82475" w:rsidP="00D82475">
      <w:pPr>
        <w:rPr>
          <w:sz w:val="32"/>
          <w:szCs w:val="32"/>
        </w:rPr>
      </w:pPr>
      <w:r w:rsidRPr="00D82475">
        <w:rPr>
          <w:sz w:val="32"/>
          <w:szCs w:val="32"/>
        </w:rPr>
        <w:fldChar w:fldCharType="begin"/>
      </w:r>
      <w:r w:rsidRPr="00D82475">
        <w:rPr>
          <w:sz w:val="32"/>
          <w:szCs w:val="32"/>
        </w:rPr>
        <w:instrText xml:space="preserve"> HYPERLINK "http://www.law.gov.kw/KWT_CC-Ar/00_2014/00_%D8%A7%D9%84%D8%AF%D8%A7%D8%A6%D8%B1%D8%A9%20%D8%A7%D9%84%D8%AA%D8%AC%D8%A7%D8%B1%D9%8A%D8%A9/KWT-CC-Ar_2014-04-28_00010_Taan.html" \l "TM2014_10_1" </w:instrText>
      </w:r>
      <w:r w:rsidRPr="00D82475">
        <w:rPr>
          <w:sz w:val="32"/>
          <w:szCs w:val="32"/>
        </w:rPr>
        <w:fldChar w:fldCharType="separate"/>
      </w:r>
      <w:r w:rsidRPr="00D82475">
        <w:rPr>
          <w:rStyle w:val="Hyperlink"/>
          <w:sz w:val="32"/>
          <w:szCs w:val="32"/>
        </w:rPr>
        <w:t xml:space="preserve">1 – </w:t>
      </w:r>
      <w:r w:rsidRPr="00D82475">
        <w:rPr>
          <w:rStyle w:val="Hyperlink"/>
          <w:sz w:val="32"/>
          <w:szCs w:val="32"/>
          <w:rtl/>
        </w:rPr>
        <w:t>ان لمحكمة الموضوع بغير معقب استخلاص حقيقة العلاقة التي تربط بين طرفي الخصومة وتحديد الجانب المُقصر في العقد او نفي التقصير عنه وتنفيذ المتعاقد لالتزامه والأخذ بتقرير الخبير متى استندت الى اسباب سائغة</w:t>
      </w:r>
      <w:r w:rsidRPr="00D82475">
        <w:rPr>
          <w:rStyle w:val="Hyperlink"/>
          <w:sz w:val="32"/>
          <w:szCs w:val="32"/>
        </w:rPr>
        <w:t>.</w:t>
      </w:r>
      <w:r w:rsidRPr="00D82475">
        <w:rPr>
          <w:sz w:val="32"/>
          <w:szCs w:val="32"/>
        </w:rPr>
        <w:fldChar w:fldCharType="end"/>
      </w:r>
    </w:p>
    <w:bookmarkStart w:id="4" w:name="Anchor48"/>
    <w:bookmarkEnd w:id="4"/>
    <w:p w:rsidR="00D82475" w:rsidRPr="00D82475" w:rsidRDefault="00D82475" w:rsidP="00D82475">
      <w:pPr>
        <w:rPr>
          <w:sz w:val="32"/>
          <w:szCs w:val="32"/>
        </w:rPr>
      </w:pPr>
      <w:r w:rsidRPr="00D82475">
        <w:rPr>
          <w:sz w:val="32"/>
          <w:szCs w:val="32"/>
        </w:rPr>
        <w:fldChar w:fldCharType="begin"/>
      </w:r>
      <w:r w:rsidRPr="00D82475">
        <w:rPr>
          <w:sz w:val="32"/>
          <w:szCs w:val="32"/>
        </w:rPr>
        <w:instrText xml:space="preserve"> HYPERLINK "http://www.law.gov.kw/KWT_CC-Ar/00_2014/00_%D8%A7%D9%84%D8%AF%D8%A7%D8%A6%D8%B1%D8%A9%20%D8%A7%D9%84%D8%AA%D8%AC%D8%A7%D8%B1%D9%8A%D8%A9/KWT-CC-Ar_2014-04-28_00010_Taan.html" \l "TM2014_10_2" </w:instrText>
      </w:r>
      <w:r w:rsidRPr="00D82475">
        <w:rPr>
          <w:sz w:val="32"/>
          <w:szCs w:val="32"/>
        </w:rPr>
        <w:fldChar w:fldCharType="separate"/>
      </w:r>
      <w:r w:rsidRPr="00D82475">
        <w:rPr>
          <w:rStyle w:val="Hyperlink"/>
          <w:sz w:val="32"/>
          <w:szCs w:val="32"/>
        </w:rPr>
        <w:t xml:space="preserve">2 – </w:t>
      </w:r>
      <w:r w:rsidRPr="00D82475">
        <w:rPr>
          <w:rStyle w:val="Hyperlink"/>
          <w:sz w:val="32"/>
          <w:szCs w:val="32"/>
          <w:rtl/>
        </w:rPr>
        <w:t>ان لمحكمة الموضوع السلطة التقديرية للأخذ بالصورة الفوتوغرافية من المستند العرفي في خصوص ما تصلح وان شاءت اطرحتها دون ان تكون ملزمة ببيان الأسباب التي دعتها الى ذلك وبلا معقب عليها</w:t>
      </w:r>
      <w:r w:rsidRPr="00D82475">
        <w:rPr>
          <w:rStyle w:val="Hyperlink"/>
          <w:sz w:val="32"/>
          <w:szCs w:val="32"/>
        </w:rPr>
        <w:t>.</w:t>
      </w:r>
      <w:r w:rsidRPr="00D82475">
        <w:rPr>
          <w:sz w:val="32"/>
          <w:szCs w:val="32"/>
        </w:rPr>
        <w:fldChar w:fldCharType="end"/>
      </w:r>
    </w:p>
    <w:bookmarkStart w:id="5" w:name="Anchor68"/>
    <w:bookmarkEnd w:id="5"/>
    <w:p w:rsidR="00D82475" w:rsidRPr="00D82475" w:rsidRDefault="00D82475" w:rsidP="00D82475">
      <w:pPr>
        <w:rPr>
          <w:sz w:val="32"/>
          <w:szCs w:val="32"/>
        </w:rPr>
      </w:pPr>
      <w:r w:rsidRPr="00D82475">
        <w:rPr>
          <w:sz w:val="32"/>
          <w:szCs w:val="32"/>
        </w:rPr>
        <w:fldChar w:fldCharType="begin"/>
      </w:r>
      <w:r w:rsidRPr="00D82475">
        <w:rPr>
          <w:sz w:val="32"/>
          <w:szCs w:val="32"/>
        </w:rPr>
        <w:instrText xml:space="preserve"> HYPERLINK "http://www.law.gov.kw/KWT_CC-Ar/00_2014/00_%D8%A7%D9%84%D8%AF%D8%A7%D8%A6%D8%B1%D8%A9%20%D8%A7%D9%84%D8%AA%D8%AC%D8%A7%D8%B1%D9%8A%D8%A9/KWT-CC-Ar_2014-04-28_00010_Taan.html" \l "TM2014_10_3" </w:instrText>
      </w:r>
      <w:r w:rsidRPr="00D82475">
        <w:rPr>
          <w:sz w:val="32"/>
          <w:szCs w:val="32"/>
        </w:rPr>
        <w:fldChar w:fldCharType="separate"/>
      </w:r>
      <w:r w:rsidRPr="00D82475">
        <w:rPr>
          <w:rStyle w:val="Hyperlink"/>
          <w:sz w:val="32"/>
          <w:szCs w:val="32"/>
        </w:rPr>
        <w:t xml:space="preserve">3 – </w:t>
      </w:r>
      <w:r w:rsidRPr="00D82475">
        <w:rPr>
          <w:rStyle w:val="Hyperlink"/>
          <w:sz w:val="32"/>
          <w:szCs w:val="32"/>
          <w:rtl/>
        </w:rPr>
        <w:t>ان ما تعيبه الطاعنة على الحكم المطعون فيه من أنه ذهب في تقريرات الى ان الخوض في مناقشة المستند العرفي لا يقبل بعد ذلك انكاره ولم يسلك سبل الطعن بالتزوير عليه غير منتج لأن الدفاع لم يسبق طرحه على محكمة الموضوع</w:t>
      </w:r>
      <w:r w:rsidRPr="00D82475">
        <w:rPr>
          <w:rStyle w:val="Hyperlink"/>
          <w:sz w:val="32"/>
          <w:szCs w:val="32"/>
        </w:rPr>
        <w:t>.</w:t>
      </w:r>
      <w:r w:rsidRPr="00D82475">
        <w:rPr>
          <w:sz w:val="32"/>
          <w:szCs w:val="32"/>
        </w:rPr>
        <w:fldChar w:fldCharType="end"/>
      </w:r>
      <w:r w:rsidRPr="00D82475">
        <w:rPr>
          <w:sz w:val="32"/>
          <w:szCs w:val="32"/>
        </w:rPr>
        <w:br/>
      </w:r>
      <w:r w:rsidRPr="00D82475">
        <w:rPr>
          <w:sz w:val="32"/>
          <w:szCs w:val="32"/>
        </w:rPr>
        <w:br/>
      </w:r>
      <w:r w:rsidRPr="00D82475">
        <w:rPr>
          <w:sz w:val="32"/>
          <w:szCs w:val="32"/>
          <w:u w:val="single"/>
          <w:rtl/>
        </w:rPr>
        <w:t>ملاحظة</w:t>
      </w:r>
      <w:r w:rsidRPr="00D82475">
        <w:rPr>
          <w:sz w:val="32"/>
          <w:szCs w:val="32"/>
          <w:u w:val="single"/>
        </w:rPr>
        <w:t xml:space="preserve"> :</w:t>
      </w:r>
      <w:r w:rsidRPr="00D82475">
        <w:rPr>
          <w:sz w:val="32"/>
          <w:szCs w:val="32"/>
        </w:rPr>
        <w:br/>
      </w:r>
      <w:r w:rsidRPr="00D8247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82475" w:rsidRPr="00D82475" w:rsidRDefault="00D82475" w:rsidP="00D82475">
      <w:pPr>
        <w:rPr>
          <w:sz w:val="32"/>
          <w:szCs w:val="32"/>
        </w:rPr>
      </w:pPr>
      <w:bookmarkStart w:id="6" w:name="Anchor90"/>
      <w:bookmarkEnd w:id="6"/>
      <w:r w:rsidRPr="00D82475">
        <w:rPr>
          <w:b/>
          <w:bCs/>
          <w:sz w:val="32"/>
          <w:szCs w:val="32"/>
          <w:rtl/>
        </w:rPr>
        <w:t>المحكمة</w:t>
      </w:r>
    </w:p>
    <w:p w:rsidR="00D82475" w:rsidRPr="00D82475" w:rsidRDefault="00D82475" w:rsidP="00D82475">
      <w:pPr>
        <w:rPr>
          <w:sz w:val="32"/>
          <w:szCs w:val="32"/>
        </w:rPr>
      </w:pPr>
      <w:bookmarkStart w:id="7" w:name="Anchor91"/>
      <w:bookmarkEnd w:id="7"/>
      <w:r w:rsidRPr="00D82475">
        <w:rPr>
          <w:sz w:val="32"/>
          <w:szCs w:val="32"/>
          <w:rtl/>
        </w:rPr>
        <w:t>بعد الاطلاع على الأوراق وضم الطعنين، والمداولة</w:t>
      </w:r>
      <w:r w:rsidRPr="00D82475">
        <w:rPr>
          <w:sz w:val="32"/>
          <w:szCs w:val="32"/>
        </w:rPr>
        <w:t>.</w:t>
      </w:r>
    </w:p>
    <w:p w:rsidR="00D82475" w:rsidRPr="00D82475" w:rsidRDefault="00D82475" w:rsidP="00D82475">
      <w:pPr>
        <w:rPr>
          <w:sz w:val="32"/>
          <w:szCs w:val="32"/>
        </w:rPr>
      </w:pPr>
      <w:bookmarkStart w:id="8" w:name="Anchor96"/>
      <w:bookmarkStart w:id="9" w:name="TM2014_10_1"/>
      <w:bookmarkEnd w:id="8"/>
      <w:bookmarkEnd w:id="9"/>
      <w:r w:rsidRPr="00D82475">
        <w:rPr>
          <w:b/>
          <w:bCs/>
          <w:sz w:val="32"/>
          <w:szCs w:val="32"/>
          <w:rtl/>
        </w:rPr>
        <w:t xml:space="preserve">لما كان من المقرر أن التعرف على حقيقة العلاقة التي تربط بين طرفي الخصومة، من وقائعها ومن الأدلة والشواهد المقدمة فيها استخلاص قيام </w:t>
      </w:r>
      <w:r w:rsidRPr="00D82475">
        <w:rPr>
          <w:b/>
          <w:bCs/>
          <w:sz w:val="32"/>
          <w:szCs w:val="32"/>
        </w:rPr>
        <w:t xml:space="preserve">.... </w:t>
      </w:r>
      <w:r w:rsidRPr="00D82475">
        <w:rPr>
          <w:b/>
          <w:bCs/>
          <w:sz w:val="32"/>
          <w:szCs w:val="32"/>
          <w:rtl/>
        </w:rPr>
        <w:t>في التعاقد وعدم قيامها، وتحديد الجانب المقصر في العقد أو نفي التقصير عنه وتنفيذ المتعاقد لالتزامه، والأخذ بتقرير الخبير، كل ذلك من الأمور الموضوعية التي تستقل بها محكمة الموضوع دون معقب عليها متى استندت إلي أسباب سائغة ولها أصل ثابت في الأوراق،</w:t>
      </w:r>
    </w:p>
    <w:p w:rsidR="00D82475" w:rsidRPr="00D82475" w:rsidRDefault="00D82475" w:rsidP="00D82475">
      <w:pPr>
        <w:rPr>
          <w:sz w:val="32"/>
          <w:szCs w:val="32"/>
        </w:rPr>
      </w:pPr>
      <w:bookmarkStart w:id="10" w:name="Anchor132"/>
      <w:bookmarkStart w:id="11" w:name="TM2014_10_2"/>
      <w:bookmarkEnd w:id="10"/>
      <w:bookmarkEnd w:id="11"/>
      <w:r w:rsidRPr="00D82475">
        <w:rPr>
          <w:b/>
          <w:bCs/>
          <w:sz w:val="32"/>
          <w:szCs w:val="32"/>
          <w:rtl/>
        </w:rPr>
        <w:t xml:space="preserve">يضاف إلى ذلك أن الصورة الفوتوغرافية من المستند العرفي، وإن لم يكن لها دلالة قانونية ملزمة، فإنها تخضع .... لمطلق سلطة محكمة الموضوع التقديرية أن شاءت أخذت بها في خصوص ما تصلح ..... بالنظر إلى ظروف الدعوى </w:t>
      </w:r>
      <w:r w:rsidRPr="00D82475">
        <w:rPr>
          <w:b/>
          <w:bCs/>
          <w:sz w:val="32"/>
          <w:szCs w:val="32"/>
          <w:rtl/>
        </w:rPr>
        <w:lastRenderedPageBreak/>
        <w:t>وملابساتها وإن شاءت اطرحتها والتفتت عنها دون أن تكون ملزمة ببيان السباب التي دعتها إلى ذلك، وبلا معقب عليها من محكمة التمييز،</w:t>
      </w:r>
      <w:r w:rsidRPr="00D82475">
        <w:rPr>
          <w:sz w:val="32"/>
          <w:szCs w:val="32"/>
          <w:rtl/>
        </w:rPr>
        <w:t xml:space="preserve"> وكان الحكم الابتدائي المؤيد بالحكم المطعون فيه لأسباب، قد استخلص من أصل </w:t>
      </w:r>
      <w:r w:rsidRPr="00D82475">
        <w:rPr>
          <w:sz w:val="32"/>
          <w:szCs w:val="32"/>
        </w:rPr>
        <w:t xml:space="preserve">.... </w:t>
      </w:r>
      <w:r w:rsidRPr="00D82475">
        <w:rPr>
          <w:sz w:val="32"/>
          <w:szCs w:val="32"/>
          <w:rtl/>
        </w:rPr>
        <w:t xml:space="preserve">وصور ومستندات مقدمة من الشركة المطعون ضدها الأولى وتقرير الخبير المنتدب، أن اتفاقاً نشأ بينها والشركة الطاعنة التي أنابت المطعون ضده الثاني في إبرامه، </w:t>
      </w:r>
      <w:r w:rsidRPr="00D82475">
        <w:rPr>
          <w:sz w:val="32"/>
          <w:szCs w:val="32"/>
        </w:rPr>
        <w:t xml:space="preserve">.... </w:t>
      </w:r>
      <w:r w:rsidRPr="00D82475">
        <w:rPr>
          <w:sz w:val="32"/>
          <w:szCs w:val="32"/>
          <w:rtl/>
        </w:rPr>
        <w:t xml:space="preserve">أمرين أولهما رابطة العمل القائمة بينهما، ووصف تعقيب معاملات والأمر الثاني الشيك المسحوب منها على البنك التجاري الكويتي لأمره بمبلغ </w:t>
      </w:r>
      <w:r w:rsidRPr="00D82475">
        <w:rPr>
          <w:sz w:val="32"/>
          <w:szCs w:val="32"/>
        </w:rPr>
        <w:t xml:space="preserve">532,43 </w:t>
      </w:r>
      <w:r w:rsidRPr="00D82475">
        <w:rPr>
          <w:sz w:val="32"/>
          <w:szCs w:val="32"/>
          <w:rtl/>
        </w:rPr>
        <w:t xml:space="preserve">ديناراً برقم 289 بتاريخ </w:t>
      </w:r>
      <w:r w:rsidRPr="00D82475">
        <w:rPr>
          <w:sz w:val="32"/>
          <w:szCs w:val="32"/>
        </w:rPr>
        <w:t xml:space="preserve">2006/5/1 </w:t>
      </w:r>
      <w:r w:rsidRPr="00D82475">
        <w:rPr>
          <w:sz w:val="32"/>
          <w:szCs w:val="32"/>
          <w:rtl/>
        </w:rPr>
        <w:t>المقدم صورته من الساحب أمام الخبير المنتدب ومن ثم ينصرف ما ترتب على هذا الانشاء من حقوق والتزامات إلى الطاعنة والذي بمقتضاه التزمت المطعون ضدها الأولى ايداع مكانها المبلغ المطالب به لحساب الإدارة العامة للجمارك تأميناً على البيان الجمركي رقم 1166 بتاريخ 2005/10/10، في المقابل تعهدت برده عند الافراج عنه بيد أن ..... عن تنفيذه ومن ثم تحقق الواقعة المطروحة. ثم خلص إلى أحقية الشركة المطعون ضدها الأولى بالمبلغ المطلب في الشق الأول من الطلب الأصلي، طبقاً لما إنتهى إليه تقدير الخبير الذي اعتمده</w:t>
      </w:r>
      <w:r w:rsidRPr="00D82475">
        <w:rPr>
          <w:sz w:val="32"/>
          <w:szCs w:val="32"/>
        </w:rPr>
        <w:t xml:space="preserve">. </w:t>
      </w:r>
      <w:r w:rsidRPr="00D82475">
        <w:rPr>
          <w:sz w:val="32"/>
          <w:szCs w:val="32"/>
          <w:rtl/>
        </w:rPr>
        <w:t>وإذ كان هذا الاستخلاص سائغاً ويرتد إلى اصل ثابت بالأوراق، ويكفي لحمل قضائه، ويواجه دفاع الطاعنة، فلا تدخل لمحكمة التمييز لأن ذلك من سلطة قاضي الموضوع</w:t>
      </w:r>
      <w:r w:rsidRPr="00D82475">
        <w:rPr>
          <w:sz w:val="32"/>
          <w:szCs w:val="32"/>
        </w:rPr>
        <w:t xml:space="preserve">. </w:t>
      </w:r>
      <w:bookmarkStart w:id="12" w:name="TM2014_10_3"/>
      <w:bookmarkEnd w:id="12"/>
      <w:r w:rsidRPr="00D82475">
        <w:rPr>
          <w:b/>
          <w:bCs/>
          <w:sz w:val="32"/>
          <w:szCs w:val="32"/>
          <w:rtl/>
        </w:rPr>
        <w:t>فيكون من غير المنتج بعد ذلك البحث فيما تعيبه الطاعنة على الحكم من أن ذهب في تقريرات إلى أن الخوض في مناقشة المستند العرفي لا يقبل بعد ذلك انكاره، ولم يسلك سبل الطعن بالتزوير عليه أياً كان وجه الرأي في هذه التقريرات، ولا محل للتحري بما تثيره من ابلاغ جهد الاختصاص التحقيق في واقعة تزوير المستند العرفي لأن دفاع لم يسبق طرحه على محكمة الموضوع</w:t>
      </w:r>
      <w:r w:rsidRPr="00D82475">
        <w:rPr>
          <w:b/>
          <w:bCs/>
          <w:sz w:val="32"/>
          <w:szCs w:val="32"/>
        </w:rPr>
        <w:t>.</w:t>
      </w:r>
      <w:r w:rsidRPr="00D82475">
        <w:rPr>
          <w:sz w:val="32"/>
          <w:szCs w:val="32"/>
        </w:rPr>
        <w:t xml:space="preserve"> </w:t>
      </w:r>
      <w:r w:rsidRPr="00D82475">
        <w:rPr>
          <w:sz w:val="32"/>
          <w:szCs w:val="32"/>
          <w:rtl/>
        </w:rPr>
        <w:t>وما أوردته من خطاءها بإضافة عبارة إلى الشق الثاني من قضاء الحكم الابتدائي، قد ورد في عبارة غير مقروءة لا يعرف منها مدى أثره، والمقصود مذكرة المصلحة المستبقاه منه ووجه الضرر الذي لحقها من جرائه. يكون قاصر البيان التفصيلي الواجب قانوناً. ومن ثم فإن الطعن برمته غير مقبول إعمالاً لحكم المادتين 152، 154/5 من قانون المرافعات المدنية والتجارية</w:t>
      </w:r>
      <w:r w:rsidRPr="00D82475">
        <w:rPr>
          <w:sz w:val="32"/>
          <w:szCs w:val="32"/>
        </w:rPr>
        <w:t xml:space="preserve">. </w:t>
      </w:r>
    </w:p>
    <w:p w:rsidR="00D82475" w:rsidRPr="00D82475" w:rsidRDefault="00D82475" w:rsidP="00D82475">
      <w:pPr>
        <w:rPr>
          <w:sz w:val="32"/>
          <w:szCs w:val="32"/>
        </w:rPr>
      </w:pPr>
      <w:bookmarkStart w:id="13" w:name="Anchor330"/>
      <w:bookmarkEnd w:id="13"/>
      <w:r w:rsidRPr="00D82475">
        <w:rPr>
          <w:sz w:val="32"/>
          <w:szCs w:val="32"/>
          <w:rtl/>
        </w:rPr>
        <w:t>لـذلـك</w:t>
      </w:r>
    </w:p>
    <w:p w:rsidR="00D82475" w:rsidRPr="00D82475" w:rsidRDefault="00D82475" w:rsidP="00D82475">
      <w:pPr>
        <w:rPr>
          <w:sz w:val="32"/>
          <w:szCs w:val="32"/>
        </w:rPr>
      </w:pPr>
      <w:bookmarkStart w:id="14" w:name="Anchor331"/>
      <w:bookmarkEnd w:id="14"/>
      <w:r w:rsidRPr="00D82475">
        <w:rPr>
          <w:sz w:val="32"/>
          <w:szCs w:val="32"/>
          <w:rtl/>
        </w:rPr>
        <w:t>قررت المحكمة - في غرفة المشورة</w:t>
      </w:r>
      <w:r w:rsidRPr="00D82475">
        <w:rPr>
          <w:sz w:val="32"/>
          <w:szCs w:val="32"/>
        </w:rPr>
        <w:t xml:space="preserve"> - </w:t>
      </w:r>
      <w:r w:rsidRPr="00D82475">
        <w:rPr>
          <w:sz w:val="32"/>
          <w:szCs w:val="32"/>
          <w:rtl/>
        </w:rPr>
        <w:t>عدم قبول الطعن، وألزمت الشركة الطاعنة المصروفات عشرين ديناراً مقابل أتعاب المحاماة مع مصادرة الكفالة في كل طعن</w:t>
      </w:r>
      <w:r w:rsidRPr="00D82475">
        <w:rPr>
          <w:sz w:val="32"/>
          <w:szCs w:val="32"/>
        </w:rPr>
        <w:t>.</w:t>
      </w:r>
    </w:p>
    <w:p w:rsidR="00D82475" w:rsidRPr="00D82475" w:rsidRDefault="00D82475" w:rsidP="00D82475">
      <w:pPr>
        <w:rPr>
          <w:sz w:val="32"/>
          <w:szCs w:val="32"/>
        </w:rPr>
      </w:pPr>
    </w:p>
    <w:p w:rsidR="00D82475" w:rsidRPr="00D82475" w:rsidRDefault="00D82475" w:rsidP="00D82475">
      <w:pPr>
        <w:rPr>
          <w:sz w:val="32"/>
          <w:szCs w:val="32"/>
        </w:rPr>
      </w:pPr>
      <w:bookmarkStart w:id="15" w:name="Anchor347"/>
      <w:bookmarkEnd w:id="15"/>
      <w:r w:rsidRPr="00D82475">
        <w:rPr>
          <w:sz w:val="32"/>
          <w:szCs w:val="32"/>
        </w:rPr>
        <w:t>* * *</w:t>
      </w:r>
    </w:p>
    <w:p w:rsidR="00D32E0F" w:rsidRPr="00D82475" w:rsidRDefault="00D32E0F">
      <w:pPr>
        <w:rPr>
          <w:sz w:val="32"/>
          <w:szCs w:val="32"/>
        </w:rPr>
      </w:pPr>
    </w:p>
    <w:sectPr w:rsidR="00D32E0F" w:rsidRPr="00D8247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6B"/>
    <w:rsid w:val="0003272B"/>
    <w:rsid w:val="00716B6B"/>
    <w:rsid w:val="00D32E0F"/>
    <w:rsid w:val="00D82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4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4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3384">
      <w:bodyDiv w:val="1"/>
      <w:marLeft w:val="0"/>
      <w:marRight w:val="0"/>
      <w:marTop w:val="0"/>
      <w:marBottom w:val="0"/>
      <w:divBdr>
        <w:top w:val="none" w:sz="0" w:space="0" w:color="auto"/>
        <w:left w:val="none" w:sz="0" w:space="0" w:color="auto"/>
        <w:bottom w:val="none" w:sz="0" w:space="0" w:color="auto"/>
        <w:right w:val="none" w:sz="0" w:space="0" w:color="auto"/>
      </w:divBdr>
      <w:divsChild>
        <w:div w:id="880484365">
          <w:marLeft w:val="0"/>
          <w:marRight w:val="0"/>
          <w:marTop w:val="0"/>
          <w:marBottom w:val="0"/>
          <w:divBdr>
            <w:top w:val="none" w:sz="0" w:space="0" w:color="auto"/>
            <w:left w:val="none" w:sz="0" w:space="0" w:color="auto"/>
            <w:bottom w:val="none" w:sz="0" w:space="0" w:color="auto"/>
            <w:right w:val="none" w:sz="0" w:space="0" w:color="auto"/>
          </w:divBdr>
        </w:div>
        <w:div w:id="414087696">
          <w:marLeft w:val="0"/>
          <w:marRight w:val="0"/>
          <w:marTop w:val="0"/>
          <w:marBottom w:val="0"/>
          <w:divBdr>
            <w:top w:val="none" w:sz="0" w:space="0" w:color="auto"/>
            <w:left w:val="none" w:sz="0" w:space="0" w:color="auto"/>
            <w:bottom w:val="none" w:sz="0" w:space="0" w:color="auto"/>
            <w:right w:val="none" w:sz="0" w:space="0" w:color="auto"/>
          </w:divBdr>
        </w:div>
        <w:div w:id="1532841965">
          <w:marLeft w:val="0"/>
          <w:marRight w:val="0"/>
          <w:marTop w:val="0"/>
          <w:marBottom w:val="0"/>
          <w:divBdr>
            <w:top w:val="none" w:sz="0" w:space="0" w:color="auto"/>
            <w:left w:val="none" w:sz="0" w:space="0" w:color="auto"/>
            <w:bottom w:val="none" w:sz="0" w:space="0" w:color="auto"/>
            <w:right w:val="none" w:sz="0" w:space="0" w:color="auto"/>
          </w:divBdr>
        </w:div>
        <w:div w:id="1563831276">
          <w:marLeft w:val="0"/>
          <w:marRight w:val="0"/>
          <w:marTop w:val="0"/>
          <w:marBottom w:val="0"/>
          <w:divBdr>
            <w:top w:val="none" w:sz="0" w:space="0" w:color="auto"/>
            <w:left w:val="none" w:sz="0" w:space="0" w:color="auto"/>
            <w:bottom w:val="none" w:sz="0" w:space="0" w:color="auto"/>
            <w:right w:val="none" w:sz="0" w:space="0" w:color="auto"/>
          </w:divBdr>
        </w:div>
        <w:div w:id="430012720">
          <w:marLeft w:val="0"/>
          <w:marRight w:val="0"/>
          <w:marTop w:val="0"/>
          <w:marBottom w:val="0"/>
          <w:divBdr>
            <w:top w:val="none" w:sz="0" w:space="0" w:color="auto"/>
            <w:left w:val="none" w:sz="0" w:space="0" w:color="auto"/>
            <w:bottom w:val="none" w:sz="0" w:space="0" w:color="auto"/>
            <w:right w:val="none" w:sz="0" w:space="0" w:color="auto"/>
          </w:divBdr>
        </w:div>
        <w:div w:id="1413509682">
          <w:marLeft w:val="0"/>
          <w:marRight w:val="0"/>
          <w:marTop w:val="0"/>
          <w:marBottom w:val="0"/>
          <w:divBdr>
            <w:top w:val="none" w:sz="0" w:space="0" w:color="auto"/>
            <w:left w:val="none" w:sz="0" w:space="0" w:color="auto"/>
            <w:bottom w:val="none" w:sz="0" w:space="0" w:color="auto"/>
            <w:right w:val="none" w:sz="0" w:space="0" w:color="auto"/>
          </w:divBdr>
        </w:div>
        <w:div w:id="110711895">
          <w:marLeft w:val="0"/>
          <w:marRight w:val="0"/>
          <w:marTop w:val="0"/>
          <w:marBottom w:val="0"/>
          <w:divBdr>
            <w:top w:val="none" w:sz="0" w:space="0" w:color="auto"/>
            <w:left w:val="none" w:sz="0" w:space="0" w:color="auto"/>
            <w:bottom w:val="none" w:sz="0" w:space="0" w:color="auto"/>
            <w:right w:val="none" w:sz="0" w:space="0" w:color="auto"/>
          </w:divBdr>
        </w:div>
        <w:div w:id="804348482">
          <w:marLeft w:val="0"/>
          <w:marRight w:val="0"/>
          <w:marTop w:val="0"/>
          <w:marBottom w:val="0"/>
          <w:divBdr>
            <w:top w:val="none" w:sz="0" w:space="0" w:color="auto"/>
            <w:left w:val="none" w:sz="0" w:space="0" w:color="auto"/>
            <w:bottom w:val="none" w:sz="0" w:space="0" w:color="auto"/>
            <w:right w:val="none" w:sz="0" w:space="0" w:color="auto"/>
          </w:divBdr>
        </w:div>
        <w:div w:id="894315458">
          <w:marLeft w:val="0"/>
          <w:marRight w:val="0"/>
          <w:marTop w:val="0"/>
          <w:marBottom w:val="0"/>
          <w:divBdr>
            <w:top w:val="none" w:sz="0" w:space="0" w:color="auto"/>
            <w:left w:val="none" w:sz="0" w:space="0" w:color="auto"/>
            <w:bottom w:val="none" w:sz="0" w:space="0" w:color="auto"/>
            <w:right w:val="none" w:sz="0" w:space="0" w:color="auto"/>
          </w:divBdr>
        </w:div>
        <w:div w:id="1024133712">
          <w:marLeft w:val="0"/>
          <w:marRight w:val="0"/>
          <w:marTop w:val="0"/>
          <w:marBottom w:val="0"/>
          <w:divBdr>
            <w:top w:val="none" w:sz="0" w:space="0" w:color="auto"/>
            <w:left w:val="none" w:sz="0" w:space="0" w:color="auto"/>
            <w:bottom w:val="none" w:sz="0" w:space="0" w:color="auto"/>
            <w:right w:val="none" w:sz="0" w:space="0" w:color="auto"/>
          </w:divBdr>
        </w:div>
        <w:div w:id="73787193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sChild>
    </w:div>
    <w:div w:id="876157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450">
          <w:marLeft w:val="0"/>
          <w:marRight w:val="0"/>
          <w:marTop w:val="0"/>
          <w:marBottom w:val="0"/>
          <w:divBdr>
            <w:top w:val="none" w:sz="0" w:space="0" w:color="auto"/>
            <w:left w:val="none" w:sz="0" w:space="0" w:color="auto"/>
            <w:bottom w:val="none" w:sz="0" w:space="0" w:color="auto"/>
            <w:right w:val="none" w:sz="0" w:space="0" w:color="auto"/>
          </w:divBdr>
        </w:div>
        <w:div w:id="1181551710">
          <w:marLeft w:val="0"/>
          <w:marRight w:val="0"/>
          <w:marTop w:val="0"/>
          <w:marBottom w:val="0"/>
          <w:divBdr>
            <w:top w:val="none" w:sz="0" w:space="0" w:color="auto"/>
            <w:left w:val="none" w:sz="0" w:space="0" w:color="auto"/>
            <w:bottom w:val="none" w:sz="0" w:space="0" w:color="auto"/>
            <w:right w:val="none" w:sz="0" w:space="0" w:color="auto"/>
          </w:divBdr>
        </w:div>
        <w:div w:id="116723014">
          <w:marLeft w:val="0"/>
          <w:marRight w:val="0"/>
          <w:marTop w:val="0"/>
          <w:marBottom w:val="0"/>
          <w:divBdr>
            <w:top w:val="none" w:sz="0" w:space="0" w:color="auto"/>
            <w:left w:val="none" w:sz="0" w:space="0" w:color="auto"/>
            <w:bottom w:val="none" w:sz="0" w:space="0" w:color="auto"/>
            <w:right w:val="none" w:sz="0" w:space="0" w:color="auto"/>
          </w:divBdr>
        </w:div>
        <w:div w:id="905997339">
          <w:marLeft w:val="0"/>
          <w:marRight w:val="0"/>
          <w:marTop w:val="0"/>
          <w:marBottom w:val="0"/>
          <w:divBdr>
            <w:top w:val="none" w:sz="0" w:space="0" w:color="auto"/>
            <w:left w:val="none" w:sz="0" w:space="0" w:color="auto"/>
            <w:bottom w:val="none" w:sz="0" w:space="0" w:color="auto"/>
            <w:right w:val="none" w:sz="0" w:space="0" w:color="auto"/>
          </w:divBdr>
        </w:div>
        <w:div w:id="2023974952">
          <w:marLeft w:val="0"/>
          <w:marRight w:val="0"/>
          <w:marTop w:val="0"/>
          <w:marBottom w:val="0"/>
          <w:divBdr>
            <w:top w:val="none" w:sz="0" w:space="0" w:color="auto"/>
            <w:left w:val="none" w:sz="0" w:space="0" w:color="auto"/>
            <w:bottom w:val="none" w:sz="0" w:space="0" w:color="auto"/>
            <w:right w:val="none" w:sz="0" w:space="0" w:color="auto"/>
          </w:divBdr>
        </w:div>
        <w:div w:id="2010407868">
          <w:marLeft w:val="0"/>
          <w:marRight w:val="0"/>
          <w:marTop w:val="0"/>
          <w:marBottom w:val="0"/>
          <w:divBdr>
            <w:top w:val="none" w:sz="0" w:space="0" w:color="auto"/>
            <w:left w:val="none" w:sz="0" w:space="0" w:color="auto"/>
            <w:bottom w:val="none" w:sz="0" w:space="0" w:color="auto"/>
            <w:right w:val="none" w:sz="0" w:space="0" w:color="auto"/>
          </w:divBdr>
        </w:div>
        <w:div w:id="917401215">
          <w:marLeft w:val="0"/>
          <w:marRight w:val="0"/>
          <w:marTop w:val="0"/>
          <w:marBottom w:val="0"/>
          <w:divBdr>
            <w:top w:val="none" w:sz="0" w:space="0" w:color="auto"/>
            <w:left w:val="none" w:sz="0" w:space="0" w:color="auto"/>
            <w:bottom w:val="none" w:sz="0" w:space="0" w:color="auto"/>
            <w:right w:val="none" w:sz="0" w:space="0" w:color="auto"/>
          </w:divBdr>
        </w:div>
        <w:div w:id="873927707">
          <w:marLeft w:val="0"/>
          <w:marRight w:val="0"/>
          <w:marTop w:val="0"/>
          <w:marBottom w:val="0"/>
          <w:divBdr>
            <w:top w:val="none" w:sz="0" w:space="0" w:color="auto"/>
            <w:left w:val="none" w:sz="0" w:space="0" w:color="auto"/>
            <w:bottom w:val="none" w:sz="0" w:space="0" w:color="auto"/>
            <w:right w:val="none" w:sz="0" w:space="0" w:color="auto"/>
          </w:divBdr>
        </w:div>
        <w:div w:id="1388801585">
          <w:marLeft w:val="0"/>
          <w:marRight w:val="0"/>
          <w:marTop w:val="0"/>
          <w:marBottom w:val="0"/>
          <w:divBdr>
            <w:top w:val="none" w:sz="0" w:space="0" w:color="auto"/>
            <w:left w:val="none" w:sz="0" w:space="0" w:color="auto"/>
            <w:bottom w:val="none" w:sz="0" w:space="0" w:color="auto"/>
            <w:right w:val="none" w:sz="0" w:space="0" w:color="auto"/>
          </w:divBdr>
        </w:div>
        <w:div w:id="1940134194">
          <w:marLeft w:val="0"/>
          <w:marRight w:val="0"/>
          <w:marTop w:val="0"/>
          <w:marBottom w:val="0"/>
          <w:divBdr>
            <w:top w:val="none" w:sz="0" w:space="0" w:color="auto"/>
            <w:left w:val="none" w:sz="0" w:space="0" w:color="auto"/>
            <w:bottom w:val="none" w:sz="0" w:space="0" w:color="auto"/>
            <w:right w:val="none" w:sz="0" w:space="0" w:color="auto"/>
          </w:divBdr>
        </w:div>
        <w:div w:id="736242819">
          <w:marLeft w:val="0"/>
          <w:marRight w:val="0"/>
          <w:marTop w:val="0"/>
          <w:marBottom w:val="0"/>
          <w:divBdr>
            <w:top w:val="none" w:sz="0" w:space="0" w:color="auto"/>
            <w:left w:val="none" w:sz="0" w:space="0" w:color="auto"/>
            <w:bottom w:val="none" w:sz="0" w:space="0" w:color="auto"/>
            <w:right w:val="none" w:sz="0" w:space="0" w:color="auto"/>
          </w:divBdr>
        </w:div>
        <w:div w:id="703210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2020-04-26T12:42:00Z</dcterms:created>
  <dcterms:modified xsi:type="dcterms:W3CDTF">2020-04-26T12:43:00Z</dcterms:modified>
</cp:coreProperties>
</file>