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59D7" w:rsidRPr="009359D7" w:rsidRDefault="009359D7" w:rsidP="009359D7">
      <w:pPr>
        <w:jc w:val="center"/>
        <w:rPr>
          <w:sz w:val="32"/>
          <w:szCs w:val="32"/>
          <w:lang w:bidi="ar-EG"/>
        </w:rPr>
      </w:pPr>
      <w:bookmarkStart w:id="0" w:name="Anchor1"/>
      <w:bookmarkEnd w:id="0"/>
      <w:r w:rsidRPr="009359D7">
        <w:rPr>
          <w:sz w:val="32"/>
          <w:szCs w:val="32"/>
          <w:rtl/>
        </w:rPr>
        <w:t>الطعن رقم 57/2</w:t>
      </w:r>
      <w:bookmarkStart w:id="1" w:name="_GoBack"/>
      <w:bookmarkEnd w:id="1"/>
      <w:r w:rsidRPr="009359D7">
        <w:rPr>
          <w:sz w:val="32"/>
          <w:szCs w:val="32"/>
          <w:rtl/>
        </w:rPr>
        <w:t>012 و 1899/2012</w:t>
      </w:r>
    </w:p>
    <w:p w:rsidR="009359D7" w:rsidRPr="009359D7" w:rsidRDefault="009359D7" w:rsidP="009359D7">
      <w:pPr>
        <w:rPr>
          <w:sz w:val="32"/>
          <w:szCs w:val="32"/>
          <w:lang w:bidi="ar-EG"/>
        </w:rPr>
      </w:pPr>
      <w:bookmarkStart w:id="2" w:name="Anchor6"/>
      <w:bookmarkEnd w:id="2"/>
      <w:r w:rsidRPr="009359D7">
        <w:rPr>
          <w:sz w:val="32"/>
          <w:szCs w:val="32"/>
          <w:rtl/>
        </w:rPr>
        <w:t>هيئة المحكمة</w:t>
      </w:r>
      <w:r w:rsidRPr="009359D7">
        <w:rPr>
          <w:sz w:val="32"/>
          <w:szCs w:val="32"/>
          <w:lang w:bidi="ar-EG"/>
        </w:rPr>
        <w:t xml:space="preserve">: </w:t>
      </w:r>
      <w:r w:rsidRPr="009359D7">
        <w:rPr>
          <w:sz w:val="32"/>
          <w:szCs w:val="32"/>
          <w:rtl/>
        </w:rPr>
        <w:t>برئاسة السيد المستشار أنـــور علي بورســلي وكيل المحكمة وعضوية السادة المستشارين زيـاد محــمد غـــازي وأحمـد علي راجـــح ومجــدي محـمد جـــاد وفيصـل عبد الحميد حرحش</w:t>
      </w:r>
    </w:p>
    <w:bookmarkStart w:id="3" w:name="Anchor25"/>
    <w:bookmarkEnd w:id="3"/>
    <w:p w:rsidR="009359D7" w:rsidRPr="009359D7" w:rsidRDefault="009359D7" w:rsidP="009359D7">
      <w:pPr>
        <w:rPr>
          <w:sz w:val="32"/>
          <w:szCs w:val="32"/>
          <w:lang w:bidi="ar-EG"/>
        </w:rPr>
      </w:pPr>
      <w:r w:rsidRPr="009359D7">
        <w:rPr>
          <w:sz w:val="32"/>
          <w:szCs w:val="32"/>
          <w:lang w:bidi="ar-EG"/>
        </w:rPr>
        <w:fldChar w:fldCharType="begin"/>
      </w:r>
      <w:r w:rsidRPr="009359D7">
        <w:rPr>
          <w:sz w:val="32"/>
          <w:szCs w:val="32"/>
          <w:lang w:bidi="ar-EG"/>
        </w:rPr>
        <w:instrText xml:space="preserve"> HYPERLINK "http://www.law.gov.kw/KWT_CC-Ar/00_2014/00_%D8%A7%D9%84%D8%AF%D8%A7%D8%A6%D8%B1%D8%A9%20%D8%A7%D9%84%D8%AA%D8%AC%D8%A7%D8%B1%D9%8A%D8%A9/KWT-CC-Ar_2014-06-03_00057_Taan.html" \l "TM2014_57_1" </w:instrText>
      </w:r>
      <w:r w:rsidRPr="009359D7">
        <w:rPr>
          <w:sz w:val="32"/>
          <w:szCs w:val="32"/>
          <w:lang w:bidi="ar-EG"/>
        </w:rPr>
        <w:fldChar w:fldCharType="separate"/>
      </w:r>
      <w:r w:rsidRPr="009359D7">
        <w:rPr>
          <w:rStyle w:val="Hyperlink"/>
          <w:sz w:val="32"/>
          <w:szCs w:val="32"/>
          <w:lang w:bidi="ar-EG"/>
        </w:rPr>
        <w:t xml:space="preserve">1- </w:t>
      </w:r>
      <w:r w:rsidRPr="009359D7">
        <w:rPr>
          <w:rStyle w:val="Hyperlink"/>
          <w:sz w:val="32"/>
          <w:szCs w:val="32"/>
          <w:rtl/>
        </w:rPr>
        <w:t>إن الحكم الذي لم يفصل كلياً أو جزئياً في موضوع النزاع هو حكم غير منهٍ للخصومة ولا يجوز الطعن فيه إستقلالاً بطريق التمييز</w:t>
      </w:r>
      <w:r w:rsidRPr="009359D7">
        <w:rPr>
          <w:rStyle w:val="Hyperlink"/>
          <w:sz w:val="32"/>
          <w:szCs w:val="32"/>
          <w:lang w:bidi="ar-EG"/>
        </w:rPr>
        <w:t>.</w:t>
      </w:r>
      <w:r w:rsidRPr="009359D7">
        <w:rPr>
          <w:sz w:val="32"/>
          <w:szCs w:val="32"/>
          <w:lang w:bidi="ar-EG"/>
        </w:rPr>
        <w:fldChar w:fldCharType="end"/>
      </w:r>
    </w:p>
    <w:bookmarkStart w:id="4" w:name="Anchor38"/>
    <w:bookmarkEnd w:id="4"/>
    <w:p w:rsidR="009359D7" w:rsidRPr="009359D7" w:rsidRDefault="009359D7" w:rsidP="009359D7">
      <w:pPr>
        <w:rPr>
          <w:sz w:val="32"/>
          <w:szCs w:val="32"/>
          <w:lang w:bidi="ar-EG"/>
        </w:rPr>
      </w:pPr>
      <w:r w:rsidRPr="009359D7">
        <w:rPr>
          <w:sz w:val="32"/>
          <w:szCs w:val="32"/>
          <w:lang w:bidi="ar-EG"/>
        </w:rPr>
        <w:fldChar w:fldCharType="begin"/>
      </w:r>
      <w:r w:rsidRPr="009359D7">
        <w:rPr>
          <w:sz w:val="32"/>
          <w:szCs w:val="32"/>
          <w:lang w:bidi="ar-EG"/>
        </w:rPr>
        <w:instrText xml:space="preserve"> HYPERLINK "http://www.law.gov.kw/KWT_CC-Ar/00_2014/00_%D8%A7%D9%84%D8%AF%D8%A7%D8%A6%D8%B1%D8%A9%20%D8%A7%D9%84%D8%AA%D8%AC%D8%A7%D8%B1%D9%8A%D8%A9/KWT-CC-Ar_2014-06-03_00057_Taan.html" \l "TM2014_57_2" </w:instrText>
      </w:r>
      <w:r w:rsidRPr="009359D7">
        <w:rPr>
          <w:sz w:val="32"/>
          <w:szCs w:val="32"/>
          <w:lang w:bidi="ar-EG"/>
        </w:rPr>
        <w:fldChar w:fldCharType="separate"/>
      </w:r>
      <w:r w:rsidRPr="009359D7">
        <w:rPr>
          <w:rStyle w:val="Hyperlink"/>
          <w:sz w:val="32"/>
          <w:szCs w:val="32"/>
          <w:lang w:bidi="ar-EG"/>
        </w:rPr>
        <w:t xml:space="preserve">2- </w:t>
      </w:r>
      <w:r w:rsidRPr="009359D7">
        <w:rPr>
          <w:rStyle w:val="Hyperlink"/>
          <w:sz w:val="32"/>
          <w:szCs w:val="32"/>
          <w:rtl/>
        </w:rPr>
        <w:t>إن المشرع لم يحدد شكلاً معيناً لعقود المقاولات</w:t>
      </w:r>
      <w:r w:rsidRPr="009359D7">
        <w:rPr>
          <w:rStyle w:val="Hyperlink"/>
          <w:sz w:val="32"/>
          <w:szCs w:val="32"/>
          <w:lang w:bidi="ar-EG"/>
        </w:rPr>
        <w:t>.</w:t>
      </w:r>
      <w:r w:rsidRPr="009359D7">
        <w:rPr>
          <w:sz w:val="32"/>
          <w:szCs w:val="32"/>
          <w:lang w:bidi="ar-EG"/>
        </w:rPr>
        <w:fldChar w:fldCharType="end"/>
      </w:r>
    </w:p>
    <w:bookmarkStart w:id="5" w:name="Anchor44"/>
    <w:bookmarkEnd w:id="5"/>
    <w:p w:rsidR="009359D7" w:rsidRPr="009359D7" w:rsidRDefault="009359D7" w:rsidP="009359D7">
      <w:pPr>
        <w:rPr>
          <w:sz w:val="32"/>
          <w:szCs w:val="32"/>
          <w:lang w:bidi="ar-EG"/>
        </w:rPr>
      </w:pPr>
      <w:r w:rsidRPr="009359D7">
        <w:rPr>
          <w:sz w:val="32"/>
          <w:szCs w:val="32"/>
          <w:lang w:bidi="ar-EG"/>
        </w:rPr>
        <w:fldChar w:fldCharType="begin"/>
      </w:r>
      <w:r w:rsidRPr="009359D7">
        <w:rPr>
          <w:sz w:val="32"/>
          <w:szCs w:val="32"/>
          <w:lang w:bidi="ar-EG"/>
        </w:rPr>
        <w:instrText xml:space="preserve"> HYPERLINK "http://www.law.gov.kw/KWT_CC-Ar/00_2014/00_%D8%A7%D9%84%D8%AF%D8%A7%D8%A6%D8%B1%D8%A9%20%D8%A7%D9%84%D8%AA%D8%AC%D8%A7%D8%B1%D9%8A%D8%A9/KWT-CC-Ar_2014-06-03_00057_Taan.html" \l "TM2014_57_3" </w:instrText>
      </w:r>
      <w:r w:rsidRPr="009359D7">
        <w:rPr>
          <w:sz w:val="32"/>
          <w:szCs w:val="32"/>
          <w:lang w:bidi="ar-EG"/>
        </w:rPr>
        <w:fldChar w:fldCharType="separate"/>
      </w:r>
      <w:r w:rsidRPr="009359D7">
        <w:rPr>
          <w:rStyle w:val="Hyperlink"/>
          <w:sz w:val="32"/>
          <w:szCs w:val="32"/>
          <w:lang w:bidi="ar-EG"/>
        </w:rPr>
        <w:t xml:space="preserve">3- </w:t>
      </w:r>
      <w:r w:rsidRPr="009359D7">
        <w:rPr>
          <w:rStyle w:val="Hyperlink"/>
          <w:sz w:val="32"/>
          <w:szCs w:val="32"/>
          <w:rtl/>
        </w:rPr>
        <w:t>إن الجدل حول إنتهاء محكمة الموضوع بشكل سائغ الى إستحقاق قيمة أعمال المقاولة المنفذة إستناداً الى تقرير الخبير المنتدب في الدعوى وأمر الشراء وتفسيرها عقد المقاولة هو جدل موضوعي غير جائز أمام محكمة التمييز</w:t>
      </w:r>
      <w:r w:rsidRPr="009359D7">
        <w:rPr>
          <w:rStyle w:val="Hyperlink"/>
          <w:sz w:val="32"/>
          <w:szCs w:val="32"/>
          <w:lang w:bidi="ar-EG"/>
        </w:rPr>
        <w:t>.</w:t>
      </w:r>
      <w:r w:rsidRPr="009359D7">
        <w:rPr>
          <w:sz w:val="32"/>
          <w:szCs w:val="32"/>
          <w:lang w:bidi="ar-EG"/>
        </w:rPr>
        <w:fldChar w:fldCharType="end"/>
      </w:r>
    </w:p>
    <w:bookmarkStart w:id="6" w:name="Anchor65"/>
    <w:bookmarkEnd w:id="6"/>
    <w:p w:rsidR="009359D7" w:rsidRPr="009359D7" w:rsidRDefault="009359D7" w:rsidP="009359D7">
      <w:pPr>
        <w:rPr>
          <w:sz w:val="32"/>
          <w:szCs w:val="32"/>
          <w:lang w:bidi="ar-EG"/>
        </w:rPr>
      </w:pPr>
      <w:r w:rsidRPr="009359D7">
        <w:rPr>
          <w:sz w:val="32"/>
          <w:szCs w:val="32"/>
          <w:lang w:bidi="ar-EG"/>
        </w:rPr>
        <w:fldChar w:fldCharType="begin"/>
      </w:r>
      <w:r w:rsidRPr="009359D7">
        <w:rPr>
          <w:sz w:val="32"/>
          <w:szCs w:val="32"/>
          <w:lang w:bidi="ar-EG"/>
        </w:rPr>
        <w:instrText xml:space="preserve"> HYPERLINK "http://www.law.gov.kw/KWT_CC-Ar/00_2014/00_%D8%A7%D9%84%D8%AF%D8%A7%D8%A6%D8%B1%D8%A9%20%D8%A7%D9%84%D8%AA%D8%AC%D8%A7%D8%B1%D9%8A%D8%A9/KWT-CC-Ar_2014-06-03_00057_Taan.html" \l "TM2014_57_4" </w:instrText>
      </w:r>
      <w:r w:rsidRPr="009359D7">
        <w:rPr>
          <w:sz w:val="32"/>
          <w:szCs w:val="32"/>
          <w:lang w:bidi="ar-EG"/>
        </w:rPr>
        <w:fldChar w:fldCharType="separate"/>
      </w:r>
      <w:r w:rsidRPr="009359D7">
        <w:rPr>
          <w:rStyle w:val="Hyperlink"/>
          <w:sz w:val="32"/>
          <w:szCs w:val="32"/>
          <w:lang w:bidi="ar-EG"/>
        </w:rPr>
        <w:t xml:space="preserve">4- </w:t>
      </w:r>
      <w:r w:rsidRPr="009359D7">
        <w:rPr>
          <w:rStyle w:val="Hyperlink"/>
          <w:sz w:val="32"/>
          <w:szCs w:val="32"/>
          <w:rtl/>
        </w:rPr>
        <w:t>إن بناء الدعوى السابقة على أساس قواعد الإثراء بلا سبب في حين أن الدعوى الحاضرة مبنية على أساس المطالبة بقيمة أعمال المقاولة المنفذة إضافة الى اختلاف الخصوم والموضوع والسبب بين الدعويين يؤدي الى عدم إكتساب الحكم السابق الحجية في الدعوى الراهنة</w:t>
      </w:r>
      <w:r w:rsidRPr="009359D7">
        <w:rPr>
          <w:rStyle w:val="Hyperlink"/>
          <w:sz w:val="32"/>
          <w:szCs w:val="32"/>
          <w:lang w:bidi="ar-EG"/>
        </w:rPr>
        <w:t>.</w:t>
      </w:r>
      <w:r w:rsidRPr="009359D7">
        <w:rPr>
          <w:sz w:val="32"/>
          <w:szCs w:val="32"/>
          <w:lang w:bidi="ar-EG"/>
        </w:rPr>
        <w:fldChar w:fldCharType="end"/>
      </w:r>
      <w:r w:rsidRPr="009359D7">
        <w:rPr>
          <w:sz w:val="32"/>
          <w:szCs w:val="32"/>
          <w:lang w:bidi="ar-EG"/>
        </w:rPr>
        <w:br/>
      </w:r>
      <w:r w:rsidRPr="009359D7">
        <w:rPr>
          <w:sz w:val="32"/>
          <w:szCs w:val="32"/>
          <w:lang w:bidi="ar-EG"/>
        </w:rPr>
        <w:br/>
      </w:r>
      <w:r w:rsidRPr="009359D7">
        <w:rPr>
          <w:sz w:val="32"/>
          <w:szCs w:val="32"/>
          <w:u w:val="single"/>
          <w:rtl/>
        </w:rPr>
        <w:t>ملاحظة</w:t>
      </w:r>
      <w:r w:rsidRPr="009359D7">
        <w:rPr>
          <w:sz w:val="32"/>
          <w:szCs w:val="32"/>
          <w:u w:val="single"/>
          <w:lang w:bidi="ar-EG"/>
        </w:rPr>
        <w:t xml:space="preserve"> :</w:t>
      </w:r>
      <w:r w:rsidRPr="009359D7">
        <w:rPr>
          <w:sz w:val="32"/>
          <w:szCs w:val="32"/>
          <w:lang w:bidi="ar-EG"/>
        </w:rPr>
        <w:br/>
      </w:r>
      <w:r w:rsidRPr="009359D7">
        <w:rPr>
          <w:sz w:val="32"/>
          <w:szCs w:val="32"/>
          <w:rtl/>
        </w:rPr>
        <w:t>إن ملخصات الأحكام الواردة أعلاه لا تعكس رأي ادارة الفتوى والتشريع التي قامت بالتلخيص لتسهيل الوصول الى المعلومات والمحافظة على حقوق الملكية الفكرية</w:t>
      </w:r>
    </w:p>
    <w:p w:rsidR="009359D7" w:rsidRPr="009359D7" w:rsidRDefault="009359D7" w:rsidP="009359D7">
      <w:pPr>
        <w:rPr>
          <w:sz w:val="32"/>
          <w:szCs w:val="32"/>
          <w:lang w:bidi="ar-EG"/>
        </w:rPr>
      </w:pPr>
      <w:bookmarkStart w:id="7" w:name="Anchor92"/>
      <w:bookmarkEnd w:id="7"/>
      <w:r w:rsidRPr="009359D7">
        <w:rPr>
          <w:b/>
          <w:bCs/>
          <w:sz w:val="32"/>
          <w:szCs w:val="32"/>
          <w:rtl/>
        </w:rPr>
        <w:t>المحكمة</w:t>
      </w:r>
    </w:p>
    <w:p w:rsidR="009359D7" w:rsidRPr="009359D7" w:rsidRDefault="009359D7" w:rsidP="009359D7">
      <w:pPr>
        <w:rPr>
          <w:sz w:val="32"/>
          <w:szCs w:val="32"/>
          <w:lang w:bidi="ar-EG"/>
        </w:rPr>
      </w:pPr>
      <w:bookmarkStart w:id="8" w:name="Anchor93"/>
      <w:bookmarkEnd w:id="8"/>
      <w:r w:rsidRPr="009359D7">
        <w:rPr>
          <w:sz w:val="32"/>
          <w:szCs w:val="32"/>
          <w:rtl/>
        </w:rPr>
        <w:t>بعد الاطلاع على الأوراق والمداولة</w:t>
      </w:r>
      <w:r w:rsidRPr="009359D7">
        <w:rPr>
          <w:sz w:val="32"/>
          <w:szCs w:val="32"/>
          <w:lang w:bidi="ar-EG"/>
        </w:rPr>
        <w:t>.</w:t>
      </w:r>
    </w:p>
    <w:p w:rsidR="009359D7" w:rsidRPr="009359D7" w:rsidRDefault="009359D7" w:rsidP="009359D7">
      <w:pPr>
        <w:rPr>
          <w:sz w:val="32"/>
          <w:szCs w:val="32"/>
          <w:lang w:bidi="ar-EG"/>
        </w:rPr>
      </w:pPr>
      <w:bookmarkStart w:id="9" w:name="Anchor97"/>
      <w:bookmarkStart w:id="10" w:name="TM2014_57_1"/>
      <w:bookmarkEnd w:id="9"/>
      <w:bookmarkEnd w:id="10"/>
      <w:r w:rsidRPr="009359D7">
        <w:rPr>
          <w:b/>
          <w:bCs/>
          <w:sz w:val="32"/>
          <w:szCs w:val="32"/>
          <w:rtl/>
        </w:rPr>
        <w:t xml:space="preserve">لما كان الحكم الصادر فى الاستئنافين رقمي 1806، 3560 لسنة 2011 تجارى الصادر بجلسة 19-12-2011 موضوع الطعن بالتمييز رقم </w:t>
      </w:r>
      <w:r w:rsidRPr="009359D7">
        <w:rPr>
          <w:b/>
          <w:bCs/>
          <w:sz w:val="32"/>
          <w:szCs w:val="32"/>
          <w:lang w:bidi="ar-EG"/>
        </w:rPr>
        <w:t xml:space="preserve">57 </w:t>
      </w:r>
      <w:r w:rsidRPr="009359D7">
        <w:rPr>
          <w:b/>
          <w:bCs/>
          <w:sz w:val="32"/>
          <w:szCs w:val="32"/>
          <w:rtl/>
        </w:rPr>
        <w:t>لسنة 2012 تجارى قد قضي بإلغاء الحكم المستأنف وبإعادة الدعوي الى محكمة أول درجة ... لنظرها فإن هذا الحكم يعد من قبيل الأحكام غير المنهية للخصومة إذ لم يفصل فى موضوع النزاع كله أو جزء منه بل أعاد عرضه على محكمة أول درجة لتقول كلمتها فيه ومن ثم فهو غير منهى للخصومة، ولم يكن من الأحكام المستثناه التي وردت على سبيل الحصر بقانون المرافعات التي يجوز فيها الطعن على استقلال ومن ثم يكون الطعن فيه بطريق التمييز غير حائز وغير مقبول</w:t>
      </w:r>
      <w:r w:rsidRPr="009359D7">
        <w:rPr>
          <w:b/>
          <w:bCs/>
          <w:sz w:val="32"/>
          <w:szCs w:val="32"/>
          <w:lang w:bidi="ar-EG"/>
        </w:rPr>
        <w:t xml:space="preserve"> ...</w:t>
      </w:r>
    </w:p>
    <w:p w:rsidR="009359D7" w:rsidRPr="009359D7" w:rsidRDefault="009359D7" w:rsidP="009359D7">
      <w:pPr>
        <w:rPr>
          <w:sz w:val="32"/>
          <w:szCs w:val="32"/>
          <w:lang w:bidi="ar-EG"/>
        </w:rPr>
      </w:pPr>
      <w:bookmarkStart w:id="11" w:name="Anchor146"/>
      <w:bookmarkStart w:id="12" w:name="TM2014_57_2"/>
      <w:bookmarkEnd w:id="11"/>
      <w:bookmarkEnd w:id="12"/>
      <w:r w:rsidRPr="009359D7">
        <w:rPr>
          <w:b/>
          <w:bCs/>
          <w:sz w:val="32"/>
          <w:szCs w:val="32"/>
          <w:rtl/>
        </w:rPr>
        <w:lastRenderedPageBreak/>
        <w:t>ولما كان المشرع لم يحدد شكلاً معيناً لعقود المقاولات</w:t>
      </w:r>
    </w:p>
    <w:p w:rsidR="009359D7" w:rsidRPr="009359D7" w:rsidRDefault="009359D7" w:rsidP="009359D7">
      <w:pPr>
        <w:rPr>
          <w:sz w:val="32"/>
          <w:szCs w:val="32"/>
          <w:lang w:bidi="ar-EG"/>
        </w:rPr>
      </w:pPr>
      <w:bookmarkStart w:id="13" w:name="Anchor151"/>
      <w:bookmarkStart w:id="14" w:name="TM2014_57_3"/>
      <w:bookmarkEnd w:id="13"/>
      <w:bookmarkEnd w:id="14"/>
      <w:r w:rsidRPr="009359D7">
        <w:rPr>
          <w:b/>
          <w:bCs/>
          <w:sz w:val="32"/>
          <w:szCs w:val="32"/>
          <w:rtl/>
        </w:rPr>
        <w:t xml:space="preserve">وكان الحكم الصادر فى الاستئنافين رقمي 3197، 3284 لسنة 2013 تجاري موضوع الطعن بالتمييز رقم </w:t>
      </w:r>
      <w:r w:rsidRPr="009359D7">
        <w:rPr>
          <w:b/>
          <w:bCs/>
          <w:sz w:val="32"/>
          <w:szCs w:val="32"/>
          <w:lang w:bidi="ar-EG"/>
        </w:rPr>
        <w:t xml:space="preserve">1899 </w:t>
      </w:r>
      <w:r w:rsidRPr="009359D7">
        <w:rPr>
          <w:b/>
          <w:bCs/>
          <w:sz w:val="32"/>
          <w:szCs w:val="32"/>
          <w:rtl/>
        </w:rPr>
        <w:t xml:space="preserve">لسنة 2013 تجاري قد عول في قضائه على تقرير خبير الدعوى أمام محكمة أول درجة وخلص منه ومن امر الشراء المؤرخ في 30-7-2007 الصادر من الطاعنة في الطعن رقم 1899 لسنة 2013 تجارى للشركة المطعون ضدها في ذات الطعن لتنفيذ الأعمال الواردة بعقد المقاولة والمستندات المقدمة من الأخيرة بجلسة </w:t>
      </w:r>
      <w:r w:rsidRPr="009359D7">
        <w:rPr>
          <w:b/>
          <w:bCs/>
          <w:sz w:val="32"/>
          <w:szCs w:val="32"/>
          <w:lang w:bidi="ar-EG"/>
        </w:rPr>
        <w:t xml:space="preserve">3-6-2012 </w:t>
      </w:r>
      <w:r w:rsidRPr="009359D7">
        <w:rPr>
          <w:b/>
          <w:bCs/>
          <w:sz w:val="32"/>
          <w:szCs w:val="32"/>
          <w:rtl/>
        </w:rPr>
        <w:t xml:space="preserve">أن العلاقة بين الطرفين علاقة تعاقدية بمقتضاها قامت الشركة المطعون ضدها بتنفيذ أعمال المقاولة المتمثلة في أمر الشراء والذي لم تنكره الطاعنة بما يستتبع أحقية المطعون ضدها في قيمة الأعمال المنفذة بمعرفتها والذي قدره الخبير بعد تصفية الحساب بينهما بالمبلغ المقضي به وأنه لا ينال من ذلك ما اثارته الشركة الطاعنة من أن أمر الشراء سالف الذكر لا يعد عقداً يعتمد عليه فى تحديد التزامات طرفيه إذ أن البين من أمر الشراء أنه حدد الأعمال الواجب تنفيذها ومدة الانتهاء منها والمقابل النقدي فى حالة تنفيذها وقد تم توجيهه للشركة المستأنف عليها، </w:t>
      </w:r>
      <w:r w:rsidRPr="009359D7">
        <w:rPr>
          <w:sz w:val="32"/>
          <w:szCs w:val="32"/>
          <w:rtl/>
        </w:rPr>
        <w:t xml:space="preserve">وما أثارته الطاعنة من عدم علمها بمن وقع على استلام الأعمال بتاريخ 23-8-2007 وهو أنتوني ما توج مدير العقود بالشركة إذ الثابت من حافظة مستندات المطعون ضدها المقدمة أمام محكمة أول درجة بجلسة 3-1-2012 أنها قدمت أصل الأقرار ولم تطعن عليه الطاعنة بثمة مطعن كما أن المطعون ضدها قدمت ما يفيد أنه تابع للشركة الطاعنة من خلال تصريح دخوله المعسكرات الأمريكية المقدم صورته وما أثارته الطاعنة من انها هي التي قامت بتنفيذ أعمال المقاولة بمعرفتها وعن طريق شركة أخرى فلم تقدم ثمة مستند يفيد تعاقدها أو تنفيذها للأعمال المتعاقد عليها بمعرفة شركة خلاف المطعون ضدها التي قدمت مستندات أمام أول درجة تفيد أنها نفذت الأعمال واستلامها من قبل المسئول بالشركة الطاعنة وكانت هذه الاسباب من الحكم المطعون فيه سائغة ولها أصلها الثابت بالأوراق وتكفى لحمل قضاء الحكم فإن النعي بأسباب الطعن لا تعدو الا أن تكون جدلا فيما لمحكمة الموضوع من سلطة فى تقدير أدلة الدعوي ومنها تقارير الخبراء وتفسير العقود والمستندات بما تراه أوفي بمقصود العاقدين لا تجوز إثارته أمام هذه المحكمة ومن ثم يكون النعي بها غير مقبول </w:t>
      </w:r>
      <w:bookmarkStart w:id="15" w:name="TM2014_57_4"/>
      <w:bookmarkEnd w:id="15"/>
      <w:r w:rsidRPr="009359D7">
        <w:rPr>
          <w:b/>
          <w:bCs/>
          <w:sz w:val="32"/>
          <w:szCs w:val="32"/>
          <w:rtl/>
        </w:rPr>
        <w:t>ولما كان البين من مطالعة المحكمة للحكم المحاج به رقم 674 لسنة 2007 تجارى واستئنافه رقم 1866 لسنة 2009 تجارى والطعن بالتمييز المرفوع عنه رقم 1419 لسنة 2009 تجارى أنه يختلف خصوماً وموضوعاً وسبباً عن الخصوم والموضوع والسبب في الدعوي الراهنة فلا يحوز حجية ذلك أن الطاعن في الطعن رقم 57 لسنة 2012 تجارى المطعون ضده في الاستئناف الثاني لم يكن ممثلاً فيه كما أن سبب الدعوى كان رد غير مستحق المبني على قواعد الاثراء بلا سبب كما أن موضوعها رد ما قبض بغير حق عن تنفيذ أعمال لوزارة الدفاع الامريكية بمعسكر العريفجان حين ان المطالبة فى الدعوي الراهنة عن تنفيذ الطاعنة فى الطعن رقم 57 لسنة 2012 تجارى المطعون ضدها فى الطعن الثاني أعمال تركيب وحدتين مكتبيتين فى كامب بوكا بالعراق وتشمل إمداد المواد وإذ التزم الحكم المطعون فيه هذا النظر فإن النعي فى هذا الخصوص والطعنين يكونان غير مقبولين</w:t>
      </w:r>
      <w:r w:rsidRPr="009359D7">
        <w:rPr>
          <w:b/>
          <w:bCs/>
          <w:sz w:val="32"/>
          <w:szCs w:val="32"/>
          <w:lang w:bidi="ar-EG"/>
        </w:rPr>
        <w:t>.</w:t>
      </w:r>
    </w:p>
    <w:p w:rsidR="009359D7" w:rsidRPr="009359D7" w:rsidRDefault="009359D7" w:rsidP="009359D7">
      <w:pPr>
        <w:rPr>
          <w:sz w:val="32"/>
          <w:szCs w:val="32"/>
          <w:lang w:bidi="ar-EG"/>
        </w:rPr>
      </w:pPr>
      <w:bookmarkStart w:id="16" w:name="Anchor396"/>
      <w:bookmarkEnd w:id="16"/>
      <w:r w:rsidRPr="009359D7">
        <w:rPr>
          <w:b/>
          <w:bCs/>
          <w:sz w:val="32"/>
          <w:szCs w:val="32"/>
          <w:rtl/>
        </w:rPr>
        <w:t>لذلك</w:t>
      </w:r>
    </w:p>
    <w:p w:rsidR="009359D7" w:rsidRPr="009359D7" w:rsidRDefault="009359D7" w:rsidP="009359D7">
      <w:pPr>
        <w:rPr>
          <w:sz w:val="32"/>
          <w:szCs w:val="32"/>
          <w:lang w:bidi="ar-EG"/>
        </w:rPr>
      </w:pPr>
      <w:bookmarkStart w:id="17" w:name="Anchor397"/>
      <w:bookmarkEnd w:id="17"/>
      <w:r w:rsidRPr="009359D7">
        <w:rPr>
          <w:sz w:val="32"/>
          <w:szCs w:val="32"/>
          <w:rtl/>
        </w:rPr>
        <w:t>قررت المحكمة في غرفة المشورة عدم قبول الطعنين وألزمت كل طاعن مصروفات طعنه والزمت المطعون ضدها في الطعن رقم 1899 لسنة 2013 تجارى بمبلغ عشرين دينار مقابل أتعاب المحاماة مع مصادرة الكفالة</w:t>
      </w:r>
      <w:r w:rsidRPr="009359D7">
        <w:rPr>
          <w:sz w:val="32"/>
          <w:szCs w:val="32"/>
          <w:lang w:bidi="ar-EG"/>
        </w:rPr>
        <w:t>.</w:t>
      </w:r>
    </w:p>
    <w:p w:rsidR="009359D7" w:rsidRPr="009359D7" w:rsidRDefault="009359D7" w:rsidP="009359D7">
      <w:pPr>
        <w:rPr>
          <w:sz w:val="32"/>
          <w:szCs w:val="32"/>
          <w:lang w:bidi="ar-EG"/>
        </w:rPr>
      </w:pPr>
    </w:p>
    <w:p w:rsidR="009359D7" w:rsidRPr="009359D7" w:rsidRDefault="009359D7" w:rsidP="009359D7">
      <w:pPr>
        <w:rPr>
          <w:sz w:val="32"/>
          <w:szCs w:val="32"/>
          <w:lang w:bidi="ar-EG"/>
        </w:rPr>
      </w:pPr>
      <w:bookmarkStart w:id="18" w:name="Anchor415"/>
      <w:bookmarkEnd w:id="18"/>
      <w:r w:rsidRPr="009359D7">
        <w:rPr>
          <w:sz w:val="32"/>
          <w:szCs w:val="32"/>
          <w:lang w:bidi="ar-EG"/>
        </w:rPr>
        <w:t>* * *</w:t>
      </w:r>
    </w:p>
    <w:p w:rsidR="008C2BA0" w:rsidRPr="009359D7" w:rsidRDefault="008C2BA0">
      <w:pPr>
        <w:rPr>
          <w:rFonts w:hint="cs"/>
          <w:sz w:val="32"/>
          <w:szCs w:val="32"/>
          <w:lang w:bidi="ar-EG"/>
        </w:rPr>
      </w:pPr>
    </w:p>
    <w:sectPr w:rsidR="008C2BA0" w:rsidRPr="009359D7" w:rsidSect="0003272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6CAE"/>
    <w:rsid w:val="0003272B"/>
    <w:rsid w:val="008C2BA0"/>
    <w:rsid w:val="009359D7"/>
    <w:rsid w:val="00A56CA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359D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359D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5524009">
      <w:bodyDiv w:val="1"/>
      <w:marLeft w:val="0"/>
      <w:marRight w:val="0"/>
      <w:marTop w:val="0"/>
      <w:marBottom w:val="0"/>
      <w:divBdr>
        <w:top w:val="none" w:sz="0" w:space="0" w:color="auto"/>
        <w:left w:val="none" w:sz="0" w:space="0" w:color="auto"/>
        <w:bottom w:val="none" w:sz="0" w:space="0" w:color="auto"/>
        <w:right w:val="none" w:sz="0" w:space="0" w:color="auto"/>
      </w:divBdr>
      <w:divsChild>
        <w:div w:id="966280571">
          <w:marLeft w:val="0"/>
          <w:marRight w:val="0"/>
          <w:marTop w:val="0"/>
          <w:marBottom w:val="0"/>
          <w:divBdr>
            <w:top w:val="none" w:sz="0" w:space="0" w:color="auto"/>
            <w:left w:val="none" w:sz="0" w:space="0" w:color="auto"/>
            <w:bottom w:val="none" w:sz="0" w:space="0" w:color="auto"/>
            <w:right w:val="none" w:sz="0" w:space="0" w:color="auto"/>
          </w:divBdr>
        </w:div>
        <w:div w:id="203299879">
          <w:marLeft w:val="0"/>
          <w:marRight w:val="0"/>
          <w:marTop w:val="0"/>
          <w:marBottom w:val="0"/>
          <w:divBdr>
            <w:top w:val="none" w:sz="0" w:space="0" w:color="auto"/>
            <w:left w:val="none" w:sz="0" w:space="0" w:color="auto"/>
            <w:bottom w:val="none" w:sz="0" w:space="0" w:color="auto"/>
            <w:right w:val="none" w:sz="0" w:space="0" w:color="auto"/>
          </w:divBdr>
        </w:div>
        <w:div w:id="165707373">
          <w:marLeft w:val="0"/>
          <w:marRight w:val="0"/>
          <w:marTop w:val="0"/>
          <w:marBottom w:val="0"/>
          <w:divBdr>
            <w:top w:val="none" w:sz="0" w:space="0" w:color="auto"/>
            <w:left w:val="none" w:sz="0" w:space="0" w:color="auto"/>
            <w:bottom w:val="none" w:sz="0" w:space="0" w:color="auto"/>
            <w:right w:val="none" w:sz="0" w:space="0" w:color="auto"/>
          </w:divBdr>
        </w:div>
        <w:div w:id="1233008544">
          <w:marLeft w:val="0"/>
          <w:marRight w:val="0"/>
          <w:marTop w:val="0"/>
          <w:marBottom w:val="0"/>
          <w:divBdr>
            <w:top w:val="none" w:sz="0" w:space="0" w:color="auto"/>
            <w:left w:val="none" w:sz="0" w:space="0" w:color="auto"/>
            <w:bottom w:val="none" w:sz="0" w:space="0" w:color="auto"/>
            <w:right w:val="none" w:sz="0" w:space="0" w:color="auto"/>
          </w:divBdr>
        </w:div>
        <w:div w:id="506865156">
          <w:marLeft w:val="0"/>
          <w:marRight w:val="0"/>
          <w:marTop w:val="0"/>
          <w:marBottom w:val="0"/>
          <w:divBdr>
            <w:top w:val="none" w:sz="0" w:space="0" w:color="auto"/>
            <w:left w:val="none" w:sz="0" w:space="0" w:color="auto"/>
            <w:bottom w:val="none" w:sz="0" w:space="0" w:color="auto"/>
            <w:right w:val="none" w:sz="0" w:space="0" w:color="auto"/>
          </w:divBdr>
        </w:div>
        <w:div w:id="1955288895">
          <w:marLeft w:val="0"/>
          <w:marRight w:val="0"/>
          <w:marTop w:val="0"/>
          <w:marBottom w:val="0"/>
          <w:divBdr>
            <w:top w:val="none" w:sz="0" w:space="0" w:color="auto"/>
            <w:left w:val="none" w:sz="0" w:space="0" w:color="auto"/>
            <w:bottom w:val="none" w:sz="0" w:space="0" w:color="auto"/>
            <w:right w:val="none" w:sz="0" w:space="0" w:color="auto"/>
          </w:divBdr>
        </w:div>
        <w:div w:id="749278675">
          <w:marLeft w:val="0"/>
          <w:marRight w:val="0"/>
          <w:marTop w:val="0"/>
          <w:marBottom w:val="0"/>
          <w:divBdr>
            <w:top w:val="none" w:sz="0" w:space="0" w:color="auto"/>
            <w:left w:val="none" w:sz="0" w:space="0" w:color="auto"/>
            <w:bottom w:val="none" w:sz="0" w:space="0" w:color="auto"/>
            <w:right w:val="none" w:sz="0" w:space="0" w:color="auto"/>
          </w:divBdr>
        </w:div>
        <w:div w:id="1250195050">
          <w:marLeft w:val="0"/>
          <w:marRight w:val="0"/>
          <w:marTop w:val="0"/>
          <w:marBottom w:val="0"/>
          <w:divBdr>
            <w:top w:val="none" w:sz="0" w:space="0" w:color="auto"/>
            <w:left w:val="none" w:sz="0" w:space="0" w:color="auto"/>
            <w:bottom w:val="none" w:sz="0" w:space="0" w:color="auto"/>
            <w:right w:val="none" w:sz="0" w:space="0" w:color="auto"/>
          </w:divBdr>
        </w:div>
        <w:div w:id="1641881632">
          <w:marLeft w:val="0"/>
          <w:marRight w:val="0"/>
          <w:marTop w:val="0"/>
          <w:marBottom w:val="0"/>
          <w:divBdr>
            <w:top w:val="none" w:sz="0" w:space="0" w:color="auto"/>
            <w:left w:val="none" w:sz="0" w:space="0" w:color="auto"/>
            <w:bottom w:val="none" w:sz="0" w:space="0" w:color="auto"/>
            <w:right w:val="none" w:sz="0" w:space="0" w:color="auto"/>
          </w:divBdr>
        </w:div>
        <w:div w:id="96948176">
          <w:marLeft w:val="0"/>
          <w:marRight w:val="0"/>
          <w:marTop w:val="0"/>
          <w:marBottom w:val="0"/>
          <w:divBdr>
            <w:top w:val="none" w:sz="0" w:space="0" w:color="auto"/>
            <w:left w:val="none" w:sz="0" w:space="0" w:color="auto"/>
            <w:bottom w:val="none" w:sz="0" w:space="0" w:color="auto"/>
            <w:right w:val="none" w:sz="0" w:space="0" w:color="auto"/>
          </w:divBdr>
        </w:div>
        <w:div w:id="1995793183">
          <w:marLeft w:val="0"/>
          <w:marRight w:val="0"/>
          <w:marTop w:val="0"/>
          <w:marBottom w:val="0"/>
          <w:divBdr>
            <w:top w:val="none" w:sz="0" w:space="0" w:color="auto"/>
            <w:left w:val="none" w:sz="0" w:space="0" w:color="auto"/>
            <w:bottom w:val="none" w:sz="0" w:space="0" w:color="auto"/>
            <w:right w:val="none" w:sz="0" w:space="0" w:color="auto"/>
          </w:divBdr>
        </w:div>
        <w:div w:id="842474950">
          <w:marLeft w:val="0"/>
          <w:marRight w:val="0"/>
          <w:marTop w:val="0"/>
          <w:marBottom w:val="0"/>
          <w:divBdr>
            <w:top w:val="none" w:sz="0" w:space="0" w:color="auto"/>
            <w:left w:val="none" w:sz="0" w:space="0" w:color="auto"/>
            <w:bottom w:val="none" w:sz="0" w:space="0" w:color="auto"/>
            <w:right w:val="none" w:sz="0" w:space="0" w:color="auto"/>
          </w:divBdr>
        </w:div>
        <w:div w:id="922222875">
          <w:marLeft w:val="0"/>
          <w:marRight w:val="0"/>
          <w:marTop w:val="0"/>
          <w:marBottom w:val="0"/>
          <w:divBdr>
            <w:top w:val="none" w:sz="0" w:space="0" w:color="auto"/>
            <w:left w:val="none" w:sz="0" w:space="0" w:color="auto"/>
            <w:bottom w:val="none" w:sz="0" w:space="0" w:color="auto"/>
            <w:right w:val="none" w:sz="0" w:space="0" w:color="auto"/>
          </w:divBdr>
        </w:div>
        <w:div w:id="1921065524">
          <w:marLeft w:val="0"/>
          <w:marRight w:val="0"/>
          <w:marTop w:val="0"/>
          <w:marBottom w:val="0"/>
          <w:divBdr>
            <w:top w:val="none" w:sz="0" w:space="0" w:color="auto"/>
            <w:left w:val="none" w:sz="0" w:space="0" w:color="auto"/>
            <w:bottom w:val="none" w:sz="0" w:space="0" w:color="auto"/>
            <w:right w:val="none" w:sz="0" w:space="0" w:color="auto"/>
          </w:divBdr>
        </w:div>
      </w:divsChild>
    </w:div>
    <w:div w:id="1977681533">
      <w:bodyDiv w:val="1"/>
      <w:marLeft w:val="0"/>
      <w:marRight w:val="0"/>
      <w:marTop w:val="0"/>
      <w:marBottom w:val="0"/>
      <w:divBdr>
        <w:top w:val="none" w:sz="0" w:space="0" w:color="auto"/>
        <w:left w:val="none" w:sz="0" w:space="0" w:color="auto"/>
        <w:bottom w:val="none" w:sz="0" w:space="0" w:color="auto"/>
        <w:right w:val="none" w:sz="0" w:space="0" w:color="auto"/>
      </w:divBdr>
      <w:divsChild>
        <w:div w:id="452403163">
          <w:marLeft w:val="0"/>
          <w:marRight w:val="0"/>
          <w:marTop w:val="0"/>
          <w:marBottom w:val="0"/>
          <w:divBdr>
            <w:top w:val="none" w:sz="0" w:space="0" w:color="auto"/>
            <w:left w:val="none" w:sz="0" w:space="0" w:color="auto"/>
            <w:bottom w:val="none" w:sz="0" w:space="0" w:color="auto"/>
            <w:right w:val="none" w:sz="0" w:space="0" w:color="auto"/>
          </w:divBdr>
        </w:div>
        <w:div w:id="379331776">
          <w:marLeft w:val="0"/>
          <w:marRight w:val="0"/>
          <w:marTop w:val="0"/>
          <w:marBottom w:val="0"/>
          <w:divBdr>
            <w:top w:val="none" w:sz="0" w:space="0" w:color="auto"/>
            <w:left w:val="none" w:sz="0" w:space="0" w:color="auto"/>
            <w:bottom w:val="none" w:sz="0" w:space="0" w:color="auto"/>
            <w:right w:val="none" w:sz="0" w:space="0" w:color="auto"/>
          </w:divBdr>
        </w:div>
        <w:div w:id="1748529465">
          <w:marLeft w:val="0"/>
          <w:marRight w:val="0"/>
          <w:marTop w:val="0"/>
          <w:marBottom w:val="0"/>
          <w:divBdr>
            <w:top w:val="none" w:sz="0" w:space="0" w:color="auto"/>
            <w:left w:val="none" w:sz="0" w:space="0" w:color="auto"/>
            <w:bottom w:val="none" w:sz="0" w:space="0" w:color="auto"/>
            <w:right w:val="none" w:sz="0" w:space="0" w:color="auto"/>
          </w:divBdr>
        </w:div>
        <w:div w:id="1197042563">
          <w:marLeft w:val="0"/>
          <w:marRight w:val="0"/>
          <w:marTop w:val="0"/>
          <w:marBottom w:val="0"/>
          <w:divBdr>
            <w:top w:val="none" w:sz="0" w:space="0" w:color="auto"/>
            <w:left w:val="none" w:sz="0" w:space="0" w:color="auto"/>
            <w:bottom w:val="none" w:sz="0" w:space="0" w:color="auto"/>
            <w:right w:val="none" w:sz="0" w:space="0" w:color="auto"/>
          </w:divBdr>
        </w:div>
        <w:div w:id="397288060">
          <w:marLeft w:val="0"/>
          <w:marRight w:val="0"/>
          <w:marTop w:val="0"/>
          <w:marBottom w:val="0"/>
          <w:divBdr>
            <w:top w:val="none" w:sz="0" w:space="0" w:color="auto"/>
            <w:left w:val="none" w:sz="0" w:space="0" w:color="auto"/>
            <w:bottom w:val="none" w:sz="0" w:space="0" w:color="auto"/>
            <w:right w:val="none" w:sz="0" w:space="0" w:color="auto"/>
          </w:divBdr>
        </w:div>
        <w:div w:id="338585234">
          <w:marLeft w:val="0"/>
          <w:marRight w:val="0"/>
          <w:marTop w:val="0"/>
          <w:marBottom w:val="0"/>
          <w:divBdr>
            <w:top w:val="none" w:sz="0" w:space="0" w:color="auto"/>
            <w:left w:val="none" w:sz="0" w:space="0" w:color="auto"/>
            <w:bottom w:val="none" w:sz="0" w:space="0" w:color="auto"/>
            <w:right w:val="none" w:sz="0" w:space="0" w:color="auto"/>
          </w:divBdr>
        </w:div>
        <w:div w:id="412436587">
          <w:marLeft w:val="0"/>
          <w:marRight w:val="0"/>
          <w:marTop w:val="0"/>
          <w:marBottom w:val="0"/>
          <w:divBdr>
            <w:top w:val="none" w:sz="0" w:space="0" w:color="auto"/>
            <w:left w:val="none" w:sz="0" w:space="0" w:color="auto"/>
            <w:bottom w:val="none" w:sz="0" w:space="0" w:color="auto"/>
            <w:right w:val="none" w:sz="0" w:space="0" w:color="auto"/>
          </w:divBdr>
        </w:div>
        <w:div w:id="1627541928">
          <w:marLeft w:val="0"/>
          <w:marRight w:val="0"/>
          <w:marTop w:val="0"/>
          <w:marBottom w:val="0"/>
          <w:divBdr>
            <w:top w:val="none" w:sz="0" w:space="0" w:color="auto"/>
            <w:left w:val="none" w:sz="0" w:space="0" w:color="auto"/>
            <w:bottom w:val="none" w:sz="0" w:space="0" w:color="auto"/>
            <w:right w:val="none" w:sz="0" w:space="0" w:color="auto"/>
          </w:divBdr>
        </w:div>
        <w:div w:id="1081024407">
          <w:marLeft w:val="0"/>
          <w:marRight w:val="0"/>
          <w:marTop w:val="0"/>
          <w:marBottom w:val="0"/>
          <w:divBdr>
            <w:top w:val="none" w:sz="0" w:space="0" w:color="auto"/>
            <w:left w:val="none" w:sz="0" w:space="0" w:color="auto"/>
            <w:bottom w:val="none" w:sz="0" w:space="0" w:color="auto"/>
            <w:right w:val="none" w:sz="0" w:space="0" w:color="auto"/>
          </w:divBdr>
        </w:div>
        <w:div w:id="1939947765">
          <w:marLeft w:val="0"/>
          <w:marRight w:val="0"/>
          <w:marTop w:val="0"/>
          <w:marBottom w:val="0"/>
          <w:divBdr>
            <w:top w:val="none" w:sz="0" w:space="0" w:color="auto"/>
            <w:left w:val="none" w:sz="0" w:space="0" w:color="auto"/>
            <w:bottom w:val="none" w:sz="0" w:space="0" w:color="auto"/>
            <w:right w:val="none" w:sz="0" w:space="0" w:color="auto"/>
          </w:divBdr>
        </w:div>
        <w:div w:id="224488554">
          <w:marLeft w:val="0"/>
          <w:marRight w:val="0"/>
          <w:marTop w:val="0"/>
          <w:marBottom w:val="0"/>
          <w:divBdr>
            <w:top w:val="none" w:sz="0" w:space="0" w:color="auto"/>
            <w:left w:val="none" w:sz="0" w:space="0" w:color="auto"/>
            <w:bottom w:val="none" w:sz="0" w:space="0" w:color="auto"/>
            <w:right w:val="none" w:sz="0" w:space="0" w:color="auto"/>
          </w:divBdr>
        </w:div>
        <w:div w:id="1415316584">
          <w:marLeft w:val="0"/>
          <w:marRight w:val="0"/>
          <w:marTop w:val="0"/>
          <w:marBottom w:val="0"/>
          <w:divBdr>
            <w:top w:val="none" w:sz="0" w:space="0" w:color="auto"/>
            <w:left w:val="none" w:sz="0" w:space="0" w:color="auto"/>
            <w:bottom w:val="none" w:sz="0" w:space="0" w:color="auto"/>
            <w:right w:val="none" w:sz="0" w:space="0" w:color="auto"/>
          </w:divBdr>
        </w:div>
        <w:div w:id="490870242">
          <w:marLeft w:val="0"/>
          <w:marRight w:val="0"/>
          <w:marTop w:val="0"/>
          <w:marBottom w:val="0"/>
          <w:divBdr>
            <w:top w:val="none" w:sz="0" w:space="0" w:color="auto"/>
            <w:left w:val="none" w:sz="0" w:space="0" w:color="auto"/>
            <w:bottom w:val="none" w:sz="0" w:space="0" w:color="auto"/>
            <w:right w:val="none" w:sz="0" w:space="0" w:color="auto"/>
          </w:divBdr>
        </w:div>
        <w:div w:id="8171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795</Words>
  <Characters>4532</Characters>
  <Application>Microsoft Office Word</Application>
  <DocSecurity>0</DocSecurity>
  <Lines>37</Lines>
  <Paragraphs>10</Paragraphs>
  <ScaleCrop>false</ScaleCrop>
  <Company/>
  <LinksUpToDate>false</LinksUpToDate>
  <CharactersWithSpaces>5317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asdd</dc:creator>
  <cp:keywords/>
  <dc:description/>
  <cp:lastModifiedBy>asdd</cp:lastModifiedBy>
  <cp:revision>2</cp:revision>
  <dcterms:created xsi:type="dcterms:W3CDTF">2020-04-26T12:14:00Z</dcterms:created>
  <dcterms:modified xsi:type="dcterms:W3CDTF">2020-04-26T12:14:00Z</dcterms:modified>
</cp:coreProperties>
</file>