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49" w:rsidRPr="00F65A49" w:rsidRDefault="00F65A49" w:rsidP="00F65A49">
      <w:pPr>
        <w:jc w:val="center"/>
        <w:rPr>
          <w:sz w:val="32"/>
          <w:szCs w:val="32"/>
        </w:rPr>
      </w:pPr>
      <w:bookmarkStart w:id="0" w:name="Anchor1"/>
      <w:bookmarkEnd w:id="0"/>
      <w:r w:rsidRPr="00F65A49">
        <w:rPr>
          <w:sz w:val="32"/>
          <w:szCs w:val="32"/>
          <w:rtl/>
        </w:rPr>
        <w:t xml:space="preserve">الطعن رقم 125 لسنة </w:t>
      </w:r>
      <w:r w:rsidRPr="00F65A49">
        <w:rPr>
          <w:sz w:val="32"/>
          <w:szCs w:val="32"/>
        </w:rPr>
        <w:t>2012</w:t>
      </w:r>
      <w:bookmarkStart w:id="1" w:name="_GoBack"/>
      <w:bookmarkEnd w:id="1"/>
    </w:p>
    <w:p w:rsidR="00F65A49" w:rsidRPr="00F65A49" w:rsidRDefault="00F65A49" w:rsidP="00F65A49">
      <w:pPr>
        <w:rPr>
          <w:sz w:val="32"/>
          <w:szCs w:val="32"/>
        </w:rPr>
      </w:pPr>
      <w:bookmarkStart w:id="2" w:name="Anchor8"/>
      <w:bookmarkEnd w:id="2"/>
      <w:r w:rsidRPr="00F65A49">
        <w:rPr>
          <w:sz w:val="32"/>
          <w:szCs w:val="32"/>
          <w:rtl/>
        </w:rPr>
        <w:t>هيئة المحكمة</w:t>
      </w:r>
      <w:r w:rsidRPr="00F65A49">
        <w:rPr>
          <w:sz w:val="32"/>
          <w:szCs w:val="32"/>
        </w:rPr>
        <w:t xml:space="preserve">: </w:t>
      </w:r>
      <w:r w:rsidRPr="00F65A49">
        <w:rPr>
          <w:sz w:val="32"/>
          <w:szCs w:val="32"/>
          <w:rtl/>
        </w:rPr>
        <w:t>برئاسة السيد المستشار عبدالهادي العطار وكيل المحكمة وعضوية السادة المستشارين يحيى موميه ومحمود عطا ومحمود عبد اللطيف وناصر مشالي</w:t>
      </w:r>
    </w:p>
    <w:bookmarkStart w:id="3" w:name="Anchor24"/>
    <w:bookmarkEnd w:id="3"/>
    <w:p w:rsidR="00F65A49" w:rsidRPr="00F65A49" w:rsidRDefault="00F65A49" w:rsidP="00F65A49">
      <w:pPr>
        <w:rPr>
          <w:sz w:val="32"/>
          <w:szCs w:val="32"/>
        </w:rPr>
      </w:pPr>
      <w:r w:rsidRPr="00F65A49">
        <w:rPr>
          <w:sz w:val="32"/>
          <w:szCs w:val="32"/>
        </w:rPr>
        <w:fldChar w:fldCharType="begin"/>
      </w:r>
      <w:r w:rsidRPr="00F65A49">
        <w:rPr>
          <w:sz w:val="32"/>
          <w:szCs w:val="32"/>
        </w:rPr>
        <w:instrText xml:space="preserve"> HYPERLINK "http://www.law.gov.kw/KWT_CC-Ar/00_2014/00_%D8%A7%D9%84%D8%AF%D8%A7%D8%A6%D8%B1%D8%A9%20%D8%A7%D9%84%D8%AA%D8%AC%D8%A7%D8%B1%D9%8A%D8%A9/KWT-CC-Ar_2014-04-29_00125_Taan.html" \l "TM2014_125_1" </w:instrText>
      </w:r>
      <w:r w:rsidRPr="00F65A49">
        <w:rPr>
          <w:sz w:val="32"/>
          <w:szCs w:val="32"/>
        </w:rPr>
        <w:fldChar w:fldCharType="separate"/>
      </w:r>
      <w:r w:rsidRPr="00F65A49">
        <w:rPr>
          <w:rStyle w:val="Hyperlink"/>
          <w:sz w:val="32"/>
          <w:szCs w:val="32"/>
        </w:rPr>
        <w:t xml:space="preserve">1 – </w:t>
      </w:r>
      <w:r w:rsidRPr="00F65A49">
        <w:rPr>
          <w:rStyle w:val="Hyperlink"/>
          <w:sz w:val="32"/>
          <w:szCs w:val="32"/>
          <w:rtl/>
        </w:rPr>
        <w:t>ان لمحكمة الموضوع الفصل في تحري مكان الاقامة المعتاد الذي يعتبره القانون موطنا يصح فيه الاعلان متى اقامت قضاءها على اسباب سائغة</w:t>
      </w:r>
      <w:r w:rsidRPr="00F65A49">
        <w:rPr>
          <w:rStyle w:val="Hyperlink"/>
          <w:sz w:val="32"/>
          <w:szCs w:val="32"/>
        </w:rPr>
        <w:t>.</w:t>
      </w:r>
      <w:r w:rsidRPr="00F65A49">
        <w:rPr>
          <w:sz w:val="32"/>
          <w:szCs w:val="32"/>
        </w:rPr>
        <w:fldChar w:fldCharType="end"/>
      </w:r>
    </w:p>
    <w:bookmarkStart w:id="4" w:name="Anchor38"/>
    <w:bookmarkEnd w:id="4"/>
    <w:p w:rsidR="00F65A49" w:rsidRPr="00F65A49" w:rsidRDefault="00F65A49" w:rsidP="00F65A49">
      <w:pPr>
        <w:rPr>
          <w:sz w:val="32"/>
          <w:szCs w:val="32"/>
        </w:rPr>
      </w:pPr>
      <w:r w:rsidRPr="00F65A49">
        <w:rPr>
          <w:sz w:val="32"/>
          <w:szCs w:val="32"/>
        </w:rPr>
        <w:fldChar w:fldCharType="begin"/>
      </w:r>
      <w:r w:rsidRPr="00F65A49">
        <w:rPr>
          <w:sz w:val="32"/>
          <w:szCs w:val="32"/>
        </w:rPr>
        <w:instrText xml:space="preserve"> HYPERLINK "http://www.law.gov.kw/KWT_CC-Ar/00_2014/00_%D8%A7%D9%84%D8%AF%D8%A7%D8%A6%D8%B1%D8%A9%20%D8%A7%D9%84%D8%AA%D8%AC%D8%A7%D8%B1%D9%8A%D8%A9/KWT-CC-Ar_2014-04-29_00125_Taan.html" \l "TM2014_125_2" </w:instrText>
      </w:r>
      <w:r w:rsidRPr="00F65A49">
        <w:rPr>
          <w:sz w:val="32"/>
          <w:szCs w:val="32"/>
        </w:rPr>
        <w:fldChar w:fldCharType="separate"/>
      </w:r>
      <w:r w:rsidRPr="00F65A49">
        <w:rPr>
          <w:rStyle w:val="Hyperlink"/>
          <w:sz w:val="32"/>
          <w:szCs w:val="32"/>
        </w:rPr>
        <w:t xml:space="preserve">2 – </w:t>
      </w:r>
      <w:r w:rsidRPr="00F65A49">
        <w:rPr>
          <w:rStyle w:val="Hyperlink"/>
          <w:sz w:val="32"/>
          <w:szCs w:val="32"/>
          <w:rtl/>
        </w:rPr>
        <w:t>ان تحقق واقعة حصول اعلان الخصوم في الدعوى تخضع لرقابة محكمة التمييز ما دام لهذا التحقق سنداً من اوراق الدعوى</w:t>
      </w:r>
      <w:r w:rsidRPr="00F65A49">
        <w:rPr>
          <w:rStyle w:val="Hyperlink"/>
          <w:sz w:val="32"/>
          <w:szCs w:val="32"/>
        </w:rPr>
        <w:t>.</w:t>
      </w:r>
      <w:r w:rsidRPr="00F65A49">
        <w:rPr>
          <w:sz w:val="32"/>
          <w:szCs w:val="32"/>
        </w:rPr>
        <w:fldChar w:fldCharType="end"/>
      </w:r>
    </w:p>
    <w:bookmarkStart w:id="5" w:name="Anchor50"/>
    <w:bookmarkEnd w:id="5"/>
    <w:p w:rsidR="00F65A49" w:rsidRPr="00F65A49" w:rsidRDefault="00F65A49" w:rsidP="00F65A49">
      <w:pPr>
        <w:rPr>
          <w:sz w:val="32"/>
          <w:szCs w:val="32"/>
        </w:rPr>
      </w:pPr>
      <w:r w:rsidRPr="00F65A49">
        <w:rPr>
          <w:sz w:val="32"/>
          <w:szCs w:val="32"/>
        </w:rPr>
        <w:fldChar w:fldCharType="begin"/>
      </w:r>
      <w:r w:rsidRPr="00F65A49">
        <w:rPr>
          <w:sz w:val="32"/>
          <w:szCs w:val="32"/>
        </w:rPr>
        <w:instrText xml:space="preserve"> HYPERLINK "http://www.law.gov.kw/KWT_CC-Ar/00_2014/00_%D8%A7%D9%84%D8%AF%D8%A7%D8%A6%D8%B1%D8%A9%20%D8%A7%D9%84%D8%AA%D8%AC%D8%A7%D8%B1%D9%8A%D8%A9/KWT-CC-Ar_2014-04-29_00125_Taan.html" \l "TM2014_125_3" </w:instrText>
      </w:r>
      <w:r w:rsidRPr="00F65A49">
        <w:rPr>
          <w:sz w:val="32"/>
          <w:szCs w:val="32"/>
        </w:rPr>
        <w:fldChar w:fldCharType="separate"/>
      </w:r>
      <w:r w:rsidRPr="00F65A49">
        <w:rPr>
          <w:rStyle w:val="Hyperlink"/>
          <w:sz w:val="32"/>
          <w:szCs w:val="32"/>
        </w:rPr>
        <w:t xml:space="preserve">3 – </w:t>
      </w:r>
      <w:r w:rsidRPr="00F65A49">
        <w:rPr>
          <w:rStyle w:val="Hyperlink"/>
          <w:sz w:val="32"/>
          <w:szCs w:val="32"/>
          <w:rtl/>
        </w:rPr>
        <w:t>ان اعلان الطاعن بأمر الاداء المتظلم منه قد تم صحيحا لعدم تقديمه دليلاً يُعتد به على انه يقيم في محل آخر خلاف العنوان الذي تم فيه الاعلان فضلا عن اتباع مندوب الاعلان الاجراءات القانونية في الاعلان واثباتها في محضر الاعلان</w:t>
      </w:r>
      <w:r w:rsidRPr="00F65A49">
        <w:rPr>
          <w:rStyle w:val="Hyperlink"/>
          <w:sz w:val="32"/>
          <w:szCs w:val="32"/>
        </w:rPr>
        <w:t>.</w:t>
      </w:r>
      <w:r w:rsidRPr="00F65A49">
        <w:rPr>
          <w:sz w:val="32"/>
          <w:szCs w:val="32"/>
        </w:rPr>
        <w:fldChar w:fldCharType="end"/>
      </w:r>
      <w:r w:rsidRPr="00F65A49">
        <w:rPr>
          <w:sz w:val="32"/>
          <w:szCs w:val="32"/>
        </w:rPr>
        <w:br/>
      </w:r>
      <w:r w:rsidRPr="00F65A49">
        <w:rPr>
          <w:sz w:val="32"/>
          <w:szCs w:val="32"/>
        </w:rPr>
        <w:br/>
      </w:r>
      <w:r w:rsidRPr="00F65A49">
        <w:rPr>
          <w:sz w:val="32"/>
          <w:szCs w:val="32"/>
          <w:u w:val="single"/>
          <w:rtl/>
        </w:rPr>
        <w:t>ملاحظة</w:t>
      </w:r>
      <w:r w:rsidRPr="00F65A49">
        <w:rPr>
          <w:sz w:val="32"/>
          <w:szCs w:val="32"/>
          <w:u w:val="single"/>
        </w:rPr>
        <w:t xml:space="preserve"> :</w:t>
      </w:r>
      <w:r w:rsidRPr="00F65A49">
        <w:rPr>
          <w:sz w:val="32"/>
          <w:szCs w:val="32"/>
        </w:rPr>
        <w:br/>
      </w:r>
      <w:r w:rsidRPr="00F65A4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65A49" w:rsidRPr="00F65A49" w:rsidRDefault="00F65A49" w:rsidP="00F65A49">
      <w:pPr>
        <w:rPr>
          <w:sz w:val="32"/>
          <w:szCs w:val="32"/>
        </w:rPr>
      </w:pPr>
      <w:bookmarkStart w:id="6" w:name="Anchor73"/>
      <w:bookmarkEnd w:id="6"/>
      <w:r w:rsidRPr="00F65A49">
        <w:rPr>
          <w:b/>
          <w:bCs/>
          <w:sz w:val="32"/>
          <w:szCs w:val="32"/>
          <w:rtl/>
        </w:rPr>
        <w:t>المحكمة</w:t>
      </w:r>
    </w:p>
    <w:p w:rsidR="00F65A49" w:rsidRPr="00F65A49" w:rsidRDefault="00F65A49" w:rsidP="00F65A49">
      <w:pPr>
        <w:rPr>
          <w:sz w:val="32"/>
          <w:szCs w:val="32"/>
        </w:rPr>
      </w:pPr>
      <w:bookmarkStart w:id="7" w:name="Anchor74"/>
      <w:bookmarkEnd w:id="7"/>
      <w:r w:rsidRPr="00F65A49">
        <w:rPr>
          <w:sz w:val="32"/>
          <w:szCs w:val="32"/>
          <w:rtl/>
        </w:rPr>
        <w:t>بعد الاطلاع على الأوراق والمداولة</w:t>
      </w:r>
      <w:r w:rsidRPr="00F65A49">
        <w:rPr>
          <w:sz w:val="32"/>
          <w:szCs w:val="32"/>
        </w:rPr>
        <w:t>.</w:t>
      </w:r>
    </w:p>
    <w:p w:rsidR="00F65A49" w:rsidRPr="00F65A49" w:rsidRDefault="00F65A49" w:rsidP="00F65A49">
      <w:pPr>
        <w:rPr>
          <w:sz w:val="32"/>
          <w:szCs w:val="32"/>
        </w:rPr>
      </w:pPr>
      <w:bookmarkStart w:id="8" w:name="Anchor78"/>
      <w:bookmarkStart w:id="9" w:name="TM2014_125_1"/>
      <w:bookmarkEnd w:id="8"/>
      <w:bookmarkEnd w:id="9"/>
      <w:r w:rsidRPr="00F65A49">
        <w:rPr>
          <w:b/>
          <w:bCs/>
          <w:sz w:val="32"/>
          <w:szCs w:val="32"/>
          <w:rtl/>
        </w:rPr>
        <w:t>لما كان من المقرر أن تحري مكان الإقامة المعتاد الذي يعتبره القانون موطناً يصح فيه الإعلان هو من مسائل الواقع التي تستقل محكمة الموضوع بالفصل فيها متى أقامت قضاءها على أسباب سائغة لها أصلها الثابت بالأوراق</w:t>
      </w:r>
    </w:p>
    <w:p w:rsidR="00F65A49" w:rsidRPr="00F65A49" w:rsidRDefault="00F65A49" w:rsidP="00F65A49">
      <w:pPr>
        <w:rPr>
          <w:sz w:val="32"/>
          <w:szCs w:val="32"/>
        </w:rPr>
      </w:pPr>
      <w:bookmarkStart w:id="10" w:name="Anchor98"/>
      <w:bookmarkStart w:id="11" w:name="TM2014_125_2"/>
      <w:bookmarkEnd w:id="10"/>
      <w:bookmarkEnd w:id="11"/>
      <w:r w:rsidRPr="00F65A49">
        <w:rPr>
          <w:b/>
          <w:bCs/>
          <w:sz w:val="32"/>
          <w:szCs w:val="32"/>
          <w:rtl/>
        </w:rPr>
        <w:t>وأن تحقق واقعة حصول إعلان الخصوم في الدعوى هو من المسائل الموضوعية التي لا تخضع لرقابة محكمة التمييز مادام لهذا التحقق سنداً من أوراق الدعوى</w:t>
      </w:r>
      <w:r w:rsidRPr="00F65A49">
        <w:rPr>
          <w:b/>
          <w:bCs/>
          <w:sz w:val="32"/>
          <w:szCs w:val="32"/>
        </w:rPr>
        <w:t>.</w:t>
      </w:r>
    </w:p>
    <w:p w:rsidR="00F65A49" w:rsidRPr="00F65A49" w:rsidRDefault="00F65A49" w:rsidP="00F65A49">
      <w:pPr>
        <w:rPr>
          <w:sz w:val="32"/>
          <w:szCs w:val="32"/>
        </w:rPr>
      </w:pPr>
      <w:bookmarkStart w:id="12" w:name="Anchor112"/>
      <w:bookmarkStart w:id="13" w:name="TM2014_125_3"/>
      <w:bookmarkEnd w:id="12"/>
      <w:bookmarkEnd w:id="13"/>
      <w:r w:rsidRPr="00F65A49">
        <w:rPr>
          <w:b/>
          <w:bCs/>
          <w:sz w:val="32"/>
          <w:szCs w:val="32"/>
          <w:rtl/>
        </w:rPr>
        <w:t xml:space="preserve">لما كان ذلك، وكان الحكم المطعون فيه قد خلص إلى صحة إعلان الطاعن بأمر الأداء المتظلم منه مع العنوان المبين به تأسيساً على أن الإعلان قد تم في محل إقامة الطاعن الثابت ببطاقته المدنية والشهادة الصادرة من الهيئة العامة للمعلومات المدنية والكائن بالفحيحيل بالقطعة رقم 10 شارع الاخنف بن قيس بناية رقم 22 الدور الثاني بشقة رقم 7 وأن الطاعن لم يقدم ثمة دليلاً يعتد به قانوناً على أنه يقيم في محل آخر خلاف العنوان الذي تم فيه الإعلان فضلاً عن أن مندوب الإعلان قد اتبع الإجراءات القانونية في الإعلان وقام بإثباتها في محضر </w:t>
      </w:r>
      <w:r w:rsidRPr="00F65A49">
        <w:rPr>
          <w:b/>
          <w:bCs/>
          <w:sz w:val="32"/>
          <w:szCs w:val="32"/>
          <w:rtl/>
        </w:rPr>
        <w:lastRenderedPageBreak/>
        <w:t>الإعلان ثم رتب الحكم إلى ذلك على ذلك سقوط حق الطاعن في الاستئناف لإيداعه صحيفة إدارة الكتاب في 2011/8/28 رغم إعلانه بأمر الأداء في 2011/5/15 وكان ما خلص إليه الحكم سائغاً وله اصله الثابت بالأوراق ويكفي لحمل قضاءه</w:t>
      </w:r>
      <w:r w:rsidRPr="00F65A49">
        <w:rPr>
          <w:sz w:val="32"/>
          <w:szCs w:val="32"/>
          <w:rtl/>
        </w:rPr>
        <w:t xml:space="preserve"> ومن ثم فإن ما يثيره الطاعن بالسبب الأول من سببي الطعن والذي يدور حول المنازعة في صحة الإعلان لعدم تضمنه بعض البيانات فإنه يضحى جدلاً موضوعياً وهو مما لا يجوز إثارته أمام هذه المحكمة وبالتالي فإنه يكون غير مقبول. أما بالنسبة لما يثيره الطاعن بالسبب الثاني والذي يدور حول صورية إقرار الدين والمنازعة في قيمة المبلغ محل الإقرار وتنصله من الخط المكتوب به الإقرار فهو غير مقبول أيضاً لصدوره من غير محل من قضاء الحكم المطعون فيه الأمر الذي يكون معه الطعن قد أقيم على غير الأسباب المبينة بالمادة 152 من قانون المرافعات مما يتعين معه التقرير بعدم قبوله عملاً بالمادة 154/5 من قانون المرافعات</w:t>
      </w:r>
      <w:r w:rsidRPr="00F65A49">
        <w:rPr>
          <w:sz w:val="32"/>
          <w:szCs w:val="32"/>
        </w:rPr>
        <w:t xml:space="preserve">. </w:t>
      </w:r>
    </w:p>
    <w:p w:rsidR="00F65A49" w:rsidRPr="00F65A49" w:rsidRDefault="00F65A49" w:rsidP="00F65A49">
      <w:pPr>
        <w:rPr>
          <w:sz w:val="32"/>
          <w:szCs w:val="32"/>
        </w:rPr>
      </w:pPr>
      <w:bookmarkStart w:id="14" w:name="Anchor231"/>
      <w:bookmarkEnd w:id="14"/>
      <w:r w:rsidRPr="00F65A49">
        <w:rPr>
          <w:sz w:val="32"/>
          <w:szCs w:val="32"/>
          <w:rtl/>
        </w:rPr>
        <w:t>لذلك</w:t>
      </w:r>
    </w:p>
    <w:p w:rsidR="00F65A49" w:rsidRPr="00F65A49" w:rsidRDefault="00F65A49" w:rsidP="00F65A49">
      <w:pPr>
        <w:rPr>
          <w:sz w:val="32"/>
          <w:szCs w:val="32"/>
        </w:rPr>
      </w:pPr>
      <w:bookmarkStart w:id="15" w:name="Anchor232"/>
      <w:bookmarkEnd w:id="15"/>
      <w:r w:rsidRPr="00F65A49">
        <w:rPr>
          <w:sz w:val="32"/>
          <w:szCs w:val="32"/>
          <w:rtl/>
        </w:rPr>
        <w:t>قررت المحكمة في غرفة المشورة عدم قبول الطعن وألزمت الطاعن المصروفات مع مصادرة الكفالة</w:t>
      </w:r>
      <w:r w:rsidRPr="00F65A49">
        <w:rPr>
          <w:sz w:val="32"/>
          <w:szCs w:val="32"/>
        </w:rPr>
        <w:t xml:space="preserve">. </w:t>
      </w:r>
    </w:p>
    <w:p w:rsidR="00F65A49" w:rsidRPr="00F65A49" w:rsidRDefault="00F65A49" w:rsidP="00F65A49">
      <w:pPr>
        <w:rPr>
          <w:sz w:val="32"/>
          <w:szCs w:val="32"/>
        </w:rPr>
      </w:pPr>
    </w:p>
    <w:p w:rsidR="00F65A49" w:rsidRPr="00F65A49" w:rsidRDefault="00F65A49" w:rsidP="00F65A49">
      <w:pPr>
        <w:rPr>
          <w:sz w:val="32"/>
          <w:szCs w:val="32"/>
        </w:rPr>
      </w:pPr>
      <w:bookmarkStart w:id="16" w:name="Anchor241"/>
      <w:bookmarkEnd w:id="16"/>
      <w:r w:rsidRPr="00F65A49">
        <w:rPr>
          <w:sz w:val="32"/>
          <w:szCs w:val="32"/>
        </w:rPr>
        <w:t>* * *</w:t>
      </w:r>
    </w:p>
    <w:p w:rsidR="00D32E0F" w:rsidRPr="00F65A49" w:rsidRDefault="00D32E0F">
      <w:pPr>
        <w:rPr>
          <w:sz w:val="32"/>
          <w:szCs w:val="32"/>
        </w:rPr>
      </w:pPr>
    </w:p>
    <w:sectPr w:rsidR="00D32E0F" w:rsidRPr="00F65A4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76"/>
    <w:rsid w:val="0003272B"/>
    <w:rsid w:val="00060C76"/>
    <w:rsid w:val="00D32E0F"/>
    <w:rsid w:val="00F65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A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67599">
      <w:bodyDiv w:val="1"/>
      <w:marLeft w:val="0"/>
      <w:marRight w:val="0"/>
      <w:marTop w:val="0"/>
      <w:marBottom w:val="0"/>
      <w:divBdr>
        <w:top w:val="none" w:sz="0" w:space="0" w:color="auto"/>
        <w:left w:val="none" w:sz="0" w:space="0" w:color="auto"/>
        <w:bottom w:val="none" w:sz="0" w:space="0" w:color="auto"/>
        <w:right w:val="none" w:sz="0" w:space="0" w:color="auto"/>
      </w:divBdr>
      <w:divsChild>
        <w:div w:id="1232690870">
          <w:marLeft w:val="0"/>
          <w:marRight w:val="0"/>
          <w:marTop w:val="0"/>
          <w:marBottom w:val="0"/>
          <w:divBdr>
            <w:top w:val="none" w:sz="0" w:space="0" w:color="auto"/>
            <w:left w:val="none" w:sz="0" w:space="0" w:color="auto"/>
            <w:bottom w:val="none" w:sz="0" w:space="0" w:color="auto"/>
            <w:right w:val="none" w:sz="0" w:space="0" w:color="auto"/>
          </w:divBdr>
        </w:div>
        <w:div w:id="563564136">
          <w:marLeft w:val="0"/>
          <w:marRight w:val="0"/>
          <w:marTop w:val="0"/>
          <w:marBottom w:val="0"/>
          <w:divBdr>
            <w:top w:val="none" w:sz="0" w:space="0" w:color="auto"/>
            <w:left w:val="none" w:sz="0" w:space="0" w:color="auto"/>
            <w:bottom w:val="none" w:sz="0" w:space="0" w:color="auto"/>
            <w:right w:val="none" w:sz="0" w:space="0" w:color="auto"/>
          </w:divBdr>
        </w:div>
        <w:div w:id="364448492">
          <w:marLeft w:val="0"/>
          <w:marRight w:val="0"/>
          <w:marTop w:val="0"/>
          <w:marBottom w:val="0"/>
          <w:divBdr>
            <w:top w:val="none" w:sz="0" w:space="0" w:color="auto"/>
            <w:left w:val="none" w:sz="0" w:space="0" w:color="auto"/>
            <w:bottom w:val="none" w:sz="0" w:space="0" w:color="auto"/>
            <w:right w:val="none" w:sz="0" w:space="0" w:color="auto"/>
          </w:divBdr>
        </w:div>
        <w:div w:id="2126388576">
          <w:marLeft w:val="0"/>
          <w:marRight w:val="0"/>
          <w:marTop w:val="0"/>
          <w:marBottom w:val="0"/>
          <w:divBdr>
            <w:top w:val="none" w:sz="0" w:space="0" w:color="auto"/>
            <w:left w:val="none" w:sz="0" w:space="0" w:color="auto"/>
            <w:bottom w:val="none" w:sz="0" w:space="0" w:color="auto"/>
            <w:right w:val="none" w:sz="0" w:space="0" w:color="auto"/>
          </w:divBdr>
        </w:div>
        <w:div w:id="1864826910">
          <w:marLeft w:val="0"/>
          <w:marRight w:val="0"/>
          <w:marTop w:val="0"/>
          <w:marBottom w:val="0"/>
          <w:divBdr>
            <w:top w:val="none" w:sz="0" w:space="0" w:color="auto"/>
            <w:left w:val="none" w:sz="0" w:space="0" w:color="auto"/>
            <w:bottom w:val="none" w:sz="0" w:space="0" w:color="auto"/>
            <w:right w:val="none" w:sz="0" w:space="0" w:color="auto"/>
          </w:divBdr>
        </w:div>
        <w:div w:id="380977095">
          <w:marLeft w:val="0"/>
          <w:marRight w:val="0"/>
          <w:marTop w:val="0"/>
          <w:marBottom w:val="0"/>
          <w:divBdr>
            <w:top w:val="none" w:sz="0" w:space="0" w:color="auto"/>
            <w:left w:val="none" w:sz="0" w:space="0" w:color="auto"/>
            <w:bottom w:val="none" w:sz="0" w:space="0" w:color="auto"/>
            <w:right w:val="none" w:sz="0" w:space="0" w:color="auto"/>
          </w:divBdr>
        </w:div>
        <w:div w:id="1267687247">
          <w:marLeft w:val="0"/>
          <w:marRight w:val="0"/>
          <w:marTop w:val="0"/>
          <w:marBottom w:val="0"/>
          <w:divBdr>
            <w:top w:val="none" w:sz="0" w:space="0" w:color="auto"/>
            <w:left w:val="none" w:sz="0" w:space="0" w:color="auto"/>
            <w:bottom w:val="none" w:sz="0" w:space="0" w:color="auto"/>
            <w:right w:val="none" w:sz="0" w:space="0" w:color="auto"/>
          </w:divBdr>
        </w:div>
        <w:div w:id="1919971913">
          <w:marLeft w:val="0"/>
          <w:marRight w:val="0"/>
          <w:marTop w:val="0"/>
          <w:marBottom w:val="0"/>
          <w:divBdr>
            <w:top w:val="none" w:sz="0" w:space="0" w:color="auto"/>
            <w:left w:val="none" w:sz="0" w:space="0" w:color="auto"/>
            <w:bottom w:val="none" w:sz="0" w:space="0" w:color="auto"/>
            <w:right w:val="none" w:sz="0" w:space="0" w:color="auto"/>
          </w:divBdr>
        </w:div>
        <w:div w:id="232273587">
          <w:marLeft w:val="0"/>
          <w:marRight w:val="0"/>
          <w:marTop w:val="0"/>
          <w:marBottom w:val="0"/>
          <w:divBdr>
            <w:top w:val="none" w:sz="0" w:space="0" w:color="auto"/>
            <w:left w:val="none" w:sz="0" w:space="0" w:color="auto"/>
            <w:bottom w:val="none" w:sz="0" w:space="0" w:color="auto"/>
            <w:right w:val="none" w:sz="0" w:space="0" w:color="auto"/>
          </w:divBdr>
        </w:div>
        <w:div w:id="2086339545">
          <w:marLeft w:val="0"/>
          <w:marRight w:val="0"/>
          <w:marTop w:val="0"/>
          <w:marBottom w:val="0"/>
          <w:divBdr>
            <w:top w:val="none" w:sz="0" w:space="0" w:color="auto"/>
            <w:left w:val="none" w:sz="0" w:space="0" w:color="auto"/>
            <w:bottom w:val="none" w:sz="0" w:space="0" w:color="auto"/>
            <w:right w:val="none" w:sz="0" w:space="0" w:color="auto"/>
          </w:divBdr>
        </w:div>
        <w:div w:id="773595832">
          <w:marLeft w:val="0"/>
          <w:marRight w:val="0"/>
          <w:marTop w:val="0"/>
          <w:marBottom w:val="0"/>
          <w:divBdr>
            <w:top w:val="none" w:sz="0" w:space="0" w:color="auto"/>
            <w:left w:val="none" w:sz="0" w:space="0" w:color="auto"/>
            <w:bottom w:val="none" w:sz="0" w:space="0" w:color="auto"/>
            <w:right w:val="none" w:sz="0" w:space="0" w:color="auto"/>
          </w:divBdr>
        </w:div>
        <w:div w:id="152573162">
          <w:marLeft w:val="0"/>
          <w:marRight w:val="0"/>
          <w:marTop w:val="0"/>
          <w:marBottom w:val="0"/>
          <w:divBdr>
            <w:top w:val="none" w:sz="0" w:space="0" w:color="auto"/>
            <w:left w:val="none" w:sz="0" w:space="0" w:color="auto"/>
            <w:bottom w:val="none" w:sz="0" w:space="0" w:color="auto"/>
            <w:right w:val="none" w:sz="0" w:space="0" w:color="auto"/>
          </w:divBdr>
        </w:div>
        <w:div w:id="1536386494">
          <w:marLeft w:val="0"/>
          <w:marRight w:val="0"/>
          <w:marTop w:val="0"/>
          <w:marBottom w:val="0"/>
          <w:divBdr>
            <w:top w:val="none" w:sz="0" w:space="0" w:color="auto"/>
            <w:left w:val="none" w:sz="0" w:space="0" w:color="auto"/>
            <w:bottom w:val="none" w:sz="0" w:space="0" w:color="auto"/>
            <w:right w:val="none" w:sz="0" w:space="0" w:color="auto"/>
          </w:divBdr>
        </w:div>
      </w:divsChild>
    </w:div>
    <w:div w:id="1870408407">
      <w:bodyDiv w:val="1"/>
      <w:marLeft w:val="0"/>
      <w:marRight w:val="0"/>
      <w:marTop w:val="0"/>
      <w:marBottom w:val="0"/>
      <w:divBdr>
        <w:top w:val="none" w:sz="0" w:space="0" w:color="auto"/>
        <w:left w:val="none" w:sz="0" w:space="0" w:color="auto"/>
        <w:bottom w:val="none" w:sz="0" w:space="0" w:color="auto"/>
        <w:right w:val="none" w:sz="0" w:space="0" w:color="auto"/>
      </w:divBdr>
      <w:divsChild>
        <w:div w:id="188223103">
          <w:marLeft w:val="0"/>
          <w:marRight w:val="0"/>
          <w:marTop w:val="0"/>
          <w:marBottom w:val="0"/>
          <w:divBdr>
            <w:top w:val="none" w:sz="0" w:space="0" w:color="auto"/>
            <w:left w:val="none" w:sz="0" w:space="0" w:color="auto"/>
            <w:bottom w:val="none" w:sz="0" w:space="0" w:color="auto"/>
            <w:right w:val="none" w:sz="0" w:space="0" w:color="auto"/>
          </w:divBdr>
        </w:div>
        <w:div w:id="513692933">
          <w:marLeft w:val="0"/>
          <w:marRight w:val="0"/>
          <w:marTop w:val="0"/>
          <w:marBottom w:val="0"/>
          <w:divBdr>
            <w:top w:val="none" w:sz="0" w:space="0" w:color="auto"/>
            <w:left w:val="none" w:sz="0" w:space="0" w:color="auto"/>
            <w:bottom w:val="none" w:sz="0" w:space="0" w:color="auto"/>
            <w:right w:val="none" w:sz="0" w:space="0" w:color="auto"/>
          </w:divBdr>
        </w:div>
        <w:div w:id="1308584479">
          <w:marLeft w:val="0"/>
          <w:marRight w:val="0"/>
          <w:marTop w:val="0"/>
          <w:marBottom w:val="0"/>
          <w:divBdr>
            <w:top w:val="none" w:sz="0" w:space="0" w:color="auto"/>
            <w:left w:val="none" w:sz="0" w:space="0" w:color="auto"/>
            <w:bottom w:val="none" w:sz="0" w:space="0" w:color="auto"/>
            <w:right w:val="none" w:sz="0" w:space="0" w:color="auto"/>
          </w:divBdr>
        </w:div>
        <w:div w:id="1099253145">
          <w:marLeft w:val="0"/>
          <w:marRight w:val="0"/>
          <w:marTop w:val="0"/>
          <w:marBottom w:val="0"/>
          <w:divBdr>
            <w:top w:val="none" w:sz="0" w:space="0" w:color="auto"/>
            <w:left w:val="none" w:sz="0" w:space="0" w:color="auto"/>
            <w:bottom w:val="none" w:sz="0" w:space="0" w:color="auto"/>
            <w:right w:val="none" w:sz="0" w:space="0" w:color="auto"/>
          </w:divBdr>
        </w:div>
        <w:div w:id="725951435">
          <w:marLeft w:val="0"/>
          <w:marRight w:val="0"/>
          <w:marTop w:val="0"/>
          <w:marBottom w:val="0"/>
          <w:divBdr>
            <w:top w:val="none" w:sz="0" w:space="0" w:color="auto"/>
            <w:left w:val="none" w:sz="0" w:space="0" w:color="auto"/>
            <w:bottom w:val="none" w:sz="0" w:space="0" w:color="auto"/>
            <w:right w:val="none" w:sz="0" w:space="0" w:color="auto"/>
          </w:divBdr>
        </w:div>
        <w:div w:id="733510307">
          <w:marLeft w:val="0"/>
          <w:marRight w:val="0"/>
          <w:marTop w:val="0"/>
          <w:marBottom w:val="0"/>
          <w:divBdr>
            <w:top w:val="none" w:sz="0" w:space="0" w:color="auto"/>
            <w:left w:val="none" w:sz="0" w:space="0" w:color="auto"/>
            <w:bottom w:val="none" w:sz="0" w:space="0" w:color="auto"/>
            <w:right w:val="none" w:sz="0" w:space="0" w:color="auto"/>
          </w:divBdr>
        </w:div>
        <w:div w:id="2052456656">
          <w:marLeft w:val="0"/>
          <w:marRight w:val="0"/>
          <w:marTop w:val="0"/>
          <w:marBottom w:val="0"/>
          <w:divBdr>
            <w:top w:val="none" w:sz="0" w:space="0" w:color="auto"/>
            <w:left w:val="none" w:sz="0" w:space="0" w:color="auto"/>
            <w:bottom w:val="none" w:sz="0" w:space="0" w:color="auto"/>
            <w:right w:val="none" w:sz="0" w:space="0" w:color="auto"/>
          </w:divBdr>
        </w:div>
        <w:div w:id="627393199">
          <w:marLeft w:val="0"/>
          <w:marRight w:val="0"/>
          <w:marTop w:val="0"/>
          <w:marBottom w:val="0"/>
          <w:divBdr>
            <w:top w:val="none" w:sz="0" w:space="0" w:color="auto"/>
            <w:left w:val="none" w:sz="0" w:space="0" w:color="auto"/>
            <w:bottom w:val="none" w:sz="0" w:space="0" w:color="auto"/>
            <w:right w:val="none" w:sz="0" w:space="0" w:color="auto"/>
          </w:divBdr>
        </w:div>
        <w:div w:id="1370454227">
          <w:marLeft w:val="0"/>
          <w:marRight w:val="0"/>
          <w:marTop w:val="0"/>
          <w:marBottom w:val="0"/>
          <w:divBdr>
            <w:top w:val="none" w:sz="0" w:space="0" w:color="auto"/>
            <w:left w:val="none" w:sz="0" w:space="0" w:color="auto"/>
            <w:bottom w:val="none" w:sz="0" w:space="0" w:color="auto"/>
            <w:right w:val="none" w:sz="0" w:space="0" w:color="auto"/>
          </w:divBdr>
        </w:div>
        <w:div w:id="1523669497">
          <w:marLeft w:val="0"/>
          <w:marRight w:val="0"/>
          <w:marTop w:val="0"/>
          <w:marBottom w:val="0"/>
          <w:divBdr>
            <w:top w:val="none" w:sz="0" w:space="0" w:color="auto"/>
            <w:left w:val="none" w:sz="0" w:space="0" w:color="auto"/>
            <w:bottom w:val="none" w:sz="0" w:space="0" w:color="auto"/>
            <w:right w:val="none" w:sz="0" w:space="0" w:color="auto"/>
          </w:divBdr>
        </w:div>
        <w:div w:id="896748966">
          <w:marLeft w:val="0"/>
          <w:marRight w:val="0"/>
          <w:marTop w:val="0"/>
          <w:marBottom w:val="0"/>
          <w:divBdr>
            <w:top w:val="none" w:sz="0" w:space="0" w:color="auto"/>
            <w:left w:val="none" w:sz="0" w:space="0" w:color="auto"/>
            <w:bottom w:val="none" w:sz="0" w:space="0" w:color="auto"/>
            <w:right w:val="none" w:sz="0" w:space="0" w:color="auto"/>
          </w:divBdr>
        </w:div>
        <w:div w:id="2022315856">
          <w:marLeft w:val="0"/>
          <w:marRight w:val="0"/>
          <w:marTop w:val="0"/>
          <w:marBottom w:val="0"/>
          <w:divBdr>
            <w:top w:val="none" w:sz="0" w:space="0" w:color="auto"/>
            <w:left w:val="none" w:sz="0" w:space="0" w:color="auto"/>
            <w:bottom w:val="none" w:sz="0" w:space="0" w:color="auto"/>
            <w:right w:val="none" w:sz="0" w:space="0" w:color="auto"/>
          </w:divBdr>
        </w:div>
        <w:div w:id="1938706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2020-04-26T12:36:00Z</dcterms:created>
  <dcterms:modified xsi:type="dcterms:W3CDTF">2020-04-26T12:36:00Z</dcterms:modified>
</cp:coreProperties>
</file>