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D92" w:rsidRPr="000A7D92" w:rsidRDefault="000A7D92" w:rsidP="000A7D92">
      <w:pPr>
        <w:jc w:val="center"/>
        <w:rPr>
          <w:sz w:val="32"/>
          <w:szCs w:val="32"/>
        </w:rPr>
      </w:pPr>
      <w:bookmarkStart w:id="0" w:name="Anchor1"/>
      <w:bookmarkEnd w:id="0"/>
      <w:r w:rsidRPr="000A7D92">
        <w:rPr>
          <w:sz w:val="32"/>
          <w:szCs w:val="32"/>
          <w:rtl/>
        </w:rPr>
        <w:t>الطع</w:t>
      </w:r>
      <w:bookmarkStart w:id="1" w:name="_GoBack"/>
      <w:bookmarkEnd w:id="1"/>
      <w:r w:rsidRPr="000A7D92">
        <w:rPr>
          <w:sz w:val="32"/>
          <w:szCs w:val="32"/>
          <w:rtl/>
        </w:rPr>
        <w:t>ن رقم 102</w:t>
      </w:r>
    </w:p>
    <w:p w:rsidR="000A7D92" w:rsidRPr="000A7D92" w:rsidRDefault="000A7D92" w:rsidP="000A7D92">
      <w:pPr>
        <w:rPr>
          <w:sz w:val="32"/>
          <w:szCs w:val="32"/>
        </w:rPr>
      </w:pPr>
      <w:bookmarkStart w:id="2" w:name="Anchor5"/>
      <w:bookmarkEnd w:id="2"/>
      <w:r w:rsidRPr="000A7D92">
        <w:rPr>
          <w:sz w:val="32"/>
          <w:szCs w:val="32"/>
          <w:rtl/>
        </w:rPr>
        <w:t>هيئة المحكمة</w:t>
      </w:r>
      <w:r w:rsidRPr="000A7D92">
        <w:rPr>
          <w:sz w:val="32"/>
          <w:szCs w:val="32"/>
        </w:rPr>
        <w:t xml:space="preserve">: </w:t>
      </w:r>
      <w:r w:rsidRPr="000A7D92">
        <w:rPr>
          <w:sz w:val="32"/>
          <w:szCs w:val="32"/>
          <w:rtl/>
        </w:rPr>
        <w:t>برئاسة السيد المستشار عادل البحوه وكيل المحكمة وعضوية السادة المستشارين محمد رشدي وإبراهيم الضبع وهشام فروايلة وثروت نصر الدين</w:t>
      </w:r>
    </w:p>
    <w:bookmarkStart w:id="3" w:name="Anchor23"/>
    <w:bookmarkEnd w:id="3"/>
    <w:p w:rsidR="000A7D92" w:rsidRPr="000A7D92" w:rsidRDefault="000A7D92" w:rsidP="000A7D92">
      <w:pPr>
        <w:rPr>
          <w:sz w:val="32"/>
          <w:szCs w:val="32"/>
        </w:rPr>
      </w:pPr>
      <w:r w:rsidRPr="000A7D92">
        <w:rPr>
          <w:sz w:val="32"/>
          <w:szCs w:val="32"/>
        </w:rPr>
        <w:fldChar w:fldCharType="begin"/>
      </w:r>
      <w:r w:rsidRPr="000A7D92">
        <w:rPr>
          <w:sz w:val="32"/>
          <w:szCs w:val="32"/>
        </w:rPr>
        <w:instrText xml:space="preserve"> HYPERLINK "http://www.law.gov.kw/KWT_CC-Ar/00_2014/00_%D8%A7%D9%84%D8%AF%D8%A7%D8%A6%D8%B1%D8%A9%20%D8%A7%D9%84%D8%AA%D8%AC%D8%A7%D8%B1%D9%8A%D8%A9/KWT-CC-Ar_2014-09-15_00102_Taan.html" \l "TM2014_102_1" </w:instrText>
      </w:r>
      <w:r w:rsidRPr="000A7D92">
        <w:rPr>
          <w:sz w:val="32"/>
          <w:szCs w:val="32"/>
        </w:rPr>
        <w:fldChar w:fldCharType="separate"/>
      </w:r>
      <w:r w:rsidRPr="000A7D92">
        <w:rPr>
          <w:rStyle w:val="Hyperlink"/>
          <w:sz w:val="32"/>
          <w:szCs w:val="32"/>
        </w:rPr>
        <w:t xml:space="preserve">1- </w:t>
      </w:r>
      <w:r w:rsidRPr="000A7D92">
        <w:rPr>
          <w:rStyle w:val="Hyperlink"/>
          <w:sz w:val="32"/>
          <w:szCs w:val="32"/>
          <w:rtl/>
        </w:rPr>
        <w:t>ان لمحكمة الموضوع تقدير الادلة وبحث المستندات المقدمة فيها والاخذ بتقرير الخبير باعتباره عنصرا من عناصر الاثبات</w:t>
      </w:r>
      <w:r w:rsidRPr="000A7D92">
        <w:rPr>
          <w:rStyle w:val="Hyperlink"/>
          <w:sz w:val="32"/>
          <w:szCs w:val="32"/>
        </w:rPr>
        <w:t>.</w:t>
      </w:r>
      <w:r w:rsidRPr="000A7D92">
        <w:rPr>
          <w:sz w:val="32"/>
          <w:szCs w:val="32"/>
        </w:rPr>
        <w:fldChar w:fldCharType="end"/>
      </w:r>
    </w:p>
    <w:bookmarkStart w:id="4" w:name="Anchor38"/>
    <w:bookmarkEnd w:id="4"/>
    <w:p w:rsidR="000A7D92" w:rsidRPr="000A7D92" w:rsidRDefault="000A7D92" w:rsidP="000A7D92">
      <w:pPr>
        <w:rPr>
          <w:sz w:val="32"/>
          <w:szCs w:val="32"/>
        </w:rPr>
      </w:pPr>
      <w:r w:rsidRPr="000A7D92">
        <w:rPr>
          <w:sz w:val="32"/>
          <w:szCs w:val="32"/>
        </w:rPr>
        <w:fldChar w:fldCharType="begin"/>
      </w:r>
      <w:r w:rsidRPr="000A7D92">
        <w:rPr>
          <w:sz w:val="32"/>
          <w:szCs w:val="32"/>
        </w:rPr>
        <w:instrText xml:space="preserve"> HYPERLINK "http://www.law.gov.kw/KWT_CC-Ar/00_2014/00_%D8%A7%D9%84%D8%AF%D8%A7%D8%A6%D8%B1%D8%A9%20%D8%A7%D9%84%D8%AA%D8%AC%D8%A7%D8%B1%D9%8A%D8%A9/KWT-CC-Ar_2014-09-15_00102_Taan.html" \l "TM2014_102_2" </w:instrText>
      </w:r>
      <w:r w:rsidRPr="000A7D92">
        <w:rPr>
          <w:sz w:val="32"/>
          <w:szCs w:val="32"/>
        </w:rPr>
        <w:fldChar w:fldCharType="separate"/>
      </w:r>
      <w:r w:rsidRPr="000A7D92">
        <w:rPr>
          <w:rStyle w:val="Hyperlink"/>
          <w:sz w:val="32"/>
          <w:szCs w:val="32"/>
        </w:rPr>
        <w:t xml:space="preserve">2- </w:t>
      </w:r>
      <w:r w:rsidRPr="000A7D92">
        <w:rPr>
          <w:rStyle w:val="Hyperlink"/>
          <w:sz w:val="32"/>
          <w:szCs w:val="32"/>
          <w:rtl/>
        </w:rPr>
        <w:t>ان للمحكمة سلطة اعتبار المتعاقد مقصرا او غير مقصر في تنفيذ التزامه واستخلاص توافر الضرر او عدم توافره</w:t>
      </w:r>
      <w:r w:rsidRPr="000A7D92">
        <w:rPr>
          <w:rStyle w:val="Hyperlink"/>
          <w:sz w:val="32"/>
          <w:szCs w:val="32"/>
        </w:rPr>
        <w:t>.</w:t>
      </w:r>
      <w:r w:rsidRPr="000A7D92">
        <w:rPr>
          <w:sz w:val="32"/>
          <w:szCs w:val="32"/>
        </w:rPr>
        <w:fldChar w:fldCharType="end"/>
      </w:r>
    </w:p>
    <w:bookmarkStart w:id="5" w:name="Anchor50"/>
    <w:bookmarkEnd w:id="5"/>
    <w:p w:rsidR="000A7D92" w:rsidRPr="000A7D92" w:rsidRDefault="000A7D92" w:rsidP="000A7D92">
      <w:pPr>
        <w:rPr>
          <w:sz w:val="32"/>
          <w:szCs w:val="32"/>
        </w:rPr>
      </w:pPr>
      <w:r w:rsidRPr="000A7D92">
        <w:rPr>
          <w:sz w:val="32"/>
          <w:szCs w:val="32"/>
        </w:rPr>
        <w:fldChar w:fldCharType="begin"/>
      </w:r>
      <w:r w:rsidRPr="000A7D92">
        <w:rPr>
          <w:sz w:val="32"/>
          <w:szCs w:val="32"/>
        </w:rPr>
        <w:instrText xml:space="preserve"> HYPERLINK "http://www.law.gov.kw/KWT_CC-Ar/00_2014/00_%D8%A7%D9%84%D8%AF%D8%A7%D8%A6%D8%B1%D8%A9%20%D8%A7%D9%84%D8%AA%D8%AC%D8%A7%D8%B1%D9%8A%D8%A9/KWT-CC-Ar_2014-09-15_00102_Taan.html" \l "TM2014_102_3" </w:instrText>
      </w:r>
      <w:r w:rsidRPr="000A7D92">
        <w:rPr>
          <w:sz w:val="32"/>
          <w:szCs w:val="32"/>
        </w:rPr>
        <w:fldChar w:fldCharType="separate"/>
      </w:r>
      <w:r w:rsidRPr="000A7D92">
        <w:rPr>
          <w:rStyle w:val="Hyperlink"/>
          <w:sz w:val="32"/>
          <w:szCs w:val="32"/>
        </w:rPr>
        <w:t xml:space="preserve">3- </w:t>
      </w:r>
      <w:r w:rsidRPr="000A7D92">
        <w:rPr>
          <w:rStyle w:val="Hyperlink"/>
          <w:sz w:val="32"/>
          <w:szCs w:val="32"/>
          <w:rtl/>
        </w:rPr>
        <w:t>ان الحكم المطعون فيه قضى بفسخ عقد الاستثمار لعدم اثبات الطاعن للاضرار التي يدعيها وقيامه بإجراء التشطيبات والديكورات والمعدات وثبوت خطأه بعدم سداده القيمة الايجارية</w:t>
      </w:r>
      <w:r w:rsidRPr="000A7D92">
        <w:rPr>
          <w:rStyle w:val="Hyperlink"/>
          <w:sz w:val="32"/>
          <w:szCs w:val="32"/>
        </w:rPr>
        <w:t>.</w:t>
      </w:r>
      <w:r w:rsidRPr="000A7D92">
        <w:rPr>
          <w:sz w:val="32"/>
          <w:szCs w:val="32"/>
        </w:rPr>
        <w:fldChar w:fldCharType="end"/>
      </w:r>
      <w:r w:rsidRPr="000A7D92">
        <w:rPr>
          <w:sz w:val="32"/>
          <w:szCs w:val="32"/>
        </w:rPr>
        <w:br/>
      </w:r>
      <w:r w:rsidRPr="000A7D92">
        <w:rPr>
          <w:sz w:val="32"/>
          <w:szCs w:val="32"/>
        </w:rPr>
        <w:br/>
      </w:r>
      <w:r w:rsidRPr="000A7D92">
        <w:rPr>
          <w:sz w:val="32"/>
          <w:szCs w:val="32"/>
          <w:u w:val="single"/>
          <w:rtl/>
        </w:rPr>
        <w:t>ملاحظة</w:t>
      </w:r>
      <w:r w:rsidRPr="000A7D92">
        <w:rPr>
          <w:sz w:val="32"/>
          <w:szCs w:val="32"/>
          <w:u w:val="single"/>
        </w:rPr>
        <w:t xml:space="preserve"> :</w:t>
      </w:r>
      <w:r w:rsidRPr="000A7D92">
        <w:rPr>
          <w:sz w:val="32"/>
          <w:szCs w:val="32"/>
        </w:rPr>
        <w:br/>
      </w:r>
      <w:r w:rsidRPr="000A7D92">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0A7D92" w:rsidRPr="000A7D92" w:rsidRDefault="000A7D92" w:rsidP="000A7D92">
      <w:pPr>
        <w:rPr>
          <w:sz w:val="32"/>
          <w:szCs w:val="32"/>
        </w:rPr>
      </w:pPr>
      <w:bookmarkStart w:id="6" w:name="Anchor69"/>
      <w:bookmarkEnd w:id="6"/>
      <w:r w:rsidRPr="000A7D92">
        <w:rPr>
          <w:b/>
          <w:bCs/>
          <w:sz w:val="32"/>
          <w:szCs w:val="32"/>
          <w:rtl/>
        </w:rPr>
        <w:t>المحكمة</w:t>
      </w:r>
    </w:p>
    <w:p w:rsidR="000A7D92" w:rsidRPr="000A7D92" w:rsidRDefault="000A7D92" w:rsidP="000A7D92">
      <w:pPr>
        <w:rPr>
          <w:sz w:val="32"/>
          <w:szCs w:val="32"/>
        </w:rPr>
      </w:pPr>
      <w:bookmarkStart w:id="7" w:name="Anchor70"/>
      <w:bookmarkEnd w:id="7"/>
      <w:r w:rsidRPr="000A7D92">
        <w:rPr>
          <w:sz w:val="32"/>
          <w:szCs w:val="32"/>
          <w:rtl/>
        </w:rPr>
        <w:t>بعد الاطلاع على الأوراق، والمداولة</w:t>
      </w:r>
      <w:r w:rsidRPr="000A7D92">
        <w:rPr>
          <w:sz w:val="32"/>
          <w:szCs w:val="32"/>
        </w:rPr>
        <w:t>.</w:t>
      </w:r>
    </w:p>
    <w:p w:rsidR="000A7D92" w:rsidRPr="000A7D92" w:rsidRDefault="000A7D92" w:rsidP="000A7D92">
      <w:pPr>
        <w:rPr>
          <w:sz w:val="32"/>
          <w:szCs w:val="32"/>
        </w:rPr>
      </w:pPr>
      <w:bookmarkStart w:id="8" w:name="Anchor74"/>
      <w:bookmarkStart w:id="9" w:name="TM2014_102_1"/>
      <w:bookmarkEnd w:id="8"/>
      <w:bookmarkEnd w:id="9"/>
      <w:r w:rsidRPr="000A7D92">
        <w:rPr>
          <w:b/>
          <w:bCs/>
          <w:sz w:val="32"/>
          <w:szCs w:val="32"/>
          <w:rtl/>
        </w:rPr>
        <w:t xml:space="preserve">لما كان لمحكمة الموضوع السلطة في تحصيل وفهم الواقع في الدعوى وتقدير الأدلة وبحث المستندات المقدمة فيها والأخذ بتقرير الخبير باعتباره عنصراً من عناصر الإثبات فيها متى أطمأنت إليه واقتنعت بالأسباب التي بنى عليها نتيجته </w:t>
      </w:r>
    </w:p>
    <w:p w:rsidR="000A7D92" w:rsidRPr="000A7D92" w:rsidRDefault="000A7D92" w:rsidP="000A7D92">
      <w:pPr>
        <w:rPr>
          <w:sz w:val="32"/>
          <w:szCs w:val="32"/>
        </w:rPr>
      </w:pPr>
      <w:bookmarkStart w:id="10" w:name="Anchor98"/>
      <w:bookmarkStart w:id="11" w:name="TM2014_102_2"/>
      <w:bookmarkEnd w:id="10"/>
      <w:bookmarkEnd w:id="11"/>
      <w:r w:rsidRPr="000A7D92">
        <w:rPr>
          <w:b/>
          <w:bCs/>
          <w:sz w:val="32"/>
          <w:szCs w:val="32"/>
          <w:rtl/>
        </w:rPr>
        <w:t>ولها أيضاً السلطة في اعتبار المتعاقد مقصراً أو غير مقصر في تنفيذ التزامه حسبما يتراءى لها من الأدلة المقدمة واستخلاص توافر الضرر أو عدم توافره ما دامت أقامت قضاءها على أسباب سائغة</w:t>
      </w:r>
      <w:r w:rsidRPr="000A7D92">
        <w:rPr>
          <w:b/>
          <w:bCs/>
          <w:sz w:val="32"/>
          <w:szCs w:val="32"/>
        </w:rPr>
        <w:t>.</w:t>
      </w:r>
    </w:p>
    <w:p w:rsidR="000A7D92" w:rsidRPr="000A7D92" w:rsidRDefault="000A7D92" w:rsidP="000A7D92">
      <w:pPr>
        <w:rPr>
          <w:sz w:val="32"/>
          <w:szCs w:val="32"/>
        </w:rPr>
      </w:pPr>
      <w:bookmarkStart w:id="12" w:name="Anchor115"/>
      <w:bookmarkStart w:id="13" w:name="TM2014_102_3"/>
      <w:bookmarkEnd w:id="12"/>
      <w:bookmarkEnd w:id="13"/>
      <w:r w:rsidRPr="000A7D92">
        <w:rPr>
          <w:b/>
          <w:bCs/>
          <w:sz w:val="32"/>
          <w:szCs w:val="32"/>
          <w:rtl/>
        </w:rPr>
        <w:t xml:space="preserve">وكان الحكم المطعون فيه قد اقام قضاءه بتأييد الحكم الابتدائي برفض الدعوى على ما خلص إليه من عدم إثبات الطاعن للأضرار التي يدعيها وقيامه بإجراء التشطيبات والديكورات والمعدات فضلاً عن ثبوت خطأه بعدم سداده القيمة الإيجارية وما ترتب عليه من القضاء بفسخ عقد الاستثمار وكانت تلك الأسباب سائغة وكافية الي ما خلص إليه الحكم ولها اصلها الثابت بالأوراق بما ينحل معه سبب النعي الي جدل فيما لمحكمة من سلطه وقد جاء نعيه باستناد المحكمة الي ما </w:t>
      </w:r>
      <w:r w:rsidRPr="000A7D92">
        <w:rPr>
          <w:b/>
          <w:bCs/>
          <w:sz w:val="32"/>
          <w:szCs w:val="32"/>
          <w:rtl/>
        </w:rPr>
        <w:lastRenderedPageBreak/>
        <w:t xml:space="preserve">قضى فيه في الاستئنافين </w:t>
      </w:r>
      <w:r w:rsidRPr="000A7D92">
        <w:rPr>
          <w:b/>
          <w:bCs/>
          <w:sz w:val="32"/>
          <w:szCs w:val="32"/>
        </w:rPr>
        <w:t xml:space="preserve">2035 , 2061 / 2011 </w:t>
      </w:r>
      <w:r w:rsidRPr="000A7D92">
        <w:rPr>
          <w:b/>
          <w:bCs/>
          <w:sz w:val="32"/>
          <w:szCs w:val="32"/>
          <w:rtl/>
        </w:rPr>
        <w:t>تجاري وموضوعها فسخ عقد الايجار واختلاف الموضوع بين الدعويين غير صحيح إذ قضت المحكمة برفض الدفع بعدم جواز نظر الدعوى لسابقة الفصل فيها لاختلاف الموضوع بين الدعوى الراهنة والدعويين والمشار اليهما ويضحى الطعن وقد اقيم على خلاف نص المادتين 152</w:t>
      </w:r>
      <w:r w:rsidRPr="000A7D92">
        <w:rPr>
          <w:b/>
          <w:bCs/>
          <w:sz w:val="32"/>
          <w:szCs w:val="32"/>
        </w:rPr>
        <w:t xml:space="preserve"> , 154 /5 </w:t>
      </w:r>
      <w:r w:rsidRPr="000A7D92">
        <w:rPr>
          <w:b/>
          <w:bCs/>
          <w:sz w:val="32"/>
          <w:szCs w:val="32"/>
          <w:rtl/>
        </w:rPr>
        <w:t>من قانون المرافعات تقرر معه المحكمة عدم قبوله</w:t>
      </w:r>
      <w:r w:rsidRPr="000A7D92">
        <w:rPr>
          <w:b/>
          <w:bCs/>
          <w:sz w:val="32"/>
          <w:szCs w:val="32"/>
        </w:rPr>
        <w:t>.</w:t>
      </w:r>
    </w:p>
    <w:p w:rsidR="000A7D92" w:rsidRPr="000A7D92" w:rsidRDefault="000A7D92" w:rsidP="000A7D92">
      <w:pPr>
        <w:rPr>
          <w:sz w:val="32"/>
          <w:szCs w:val="32"/>
        </w:rPr>
      </w:pPr>
      <w:bookmarkStart w:id="14" w:name="Anchor184"/>
      <w:bookmarkEnd w:id="14"/>
      <w:r w:rsidRPr="000A7D92">
        <w:rPr>
          <w:sz w:val="32"/>
          <w:szCs w:val="32"/>
          <w:rtl/>
        </w:rPr>
        <w:t>لذلك</w:t>
      </w:r>
    </w:p>
    <w:p w:rsidR="000A7D92" w:rsidRPr="000A7D92" w:rsidRDefault="000A7D92" w:rsidP="000A7D92">
      <w:pPr>
        <w:rPr>
          <w:sz w:val="32"/>
          <w:szCs w:val="32"/>
        </w:rPr>
      </w:pPr>
      <w:bookmarkStart w:id="15" w:name="Anchor185"/>
      <w:bookmarkEnd w:id="15"/>
      <w:r w:rsidRPr="000A7D92">
        <w:rPr>
          <w:sz w:val="32"/>
          <w:szCs w:val="32"/>
          <w:rtl/>
        </w:rPr>
        <w:t xml:space="preserve">قررت المحكمة </w:t>
      </w:r>
      <w:r w:rsidRPr="000A7D92">
        <w:rPr>
          <w:sz w:val="32"/>
          <w:szCs w:val="32"/>
        </w:rPr>
        <w:t xml:space="preserve">– </w:t>
      </w:r>
      <w:r w:rsidRPr="000A7D92">
        <w:rPr>
          <w:sz w:val="32"/>
          <w:szCs w:val="32"/>
          <w:rtl/>
        </w:rPr>
        <w:t xml:space="preserve">في غرفة المشورة </w:t>
      </w:r>
      <w:r w:rsidRPr="000A7D92">
        <w:rPr>
          <w:sz w:val="32"/>
          <w:szCs w:val="32"/>
        </w:rPr>
        <w:t xml:space="preserve">- </w:t>
      </w:r>
      <w:r w:rsidRPr="000A7D92">
        <w:rPr>
          <w:sz w:val="32"/>
          <w:szCs w:val="32"/>
          <w:rtl/>
        </w:rPr>
        <w:t>عدم قبول الطعن والزمت الطاعن المصروفات مع مصادرة الكفالة</w:t>
      </w:r>
    </w:p>
    <w:p w:rsidR="000A7D92" w:rsidRPr="000A7D92" w:rsidRDefault="000A7D92" w:rsidP="000A7D92">
      <w:pPr>
        <w:rPr>
          <w:sz w:val="32"/>
          <w:szCs w:val="32"/>
        </w:rPr>
      </w:pPr>
    </w:p>
    <w:p w:rsidR="000A7D92" w:rsidRPr="000A7D92" w:rsidRDefault="000A7D92" w:rsidP="000A7D92">
      <w:pPr>
        <w:rPr>
          <w:sz w:val="32"/>
          <w:szCs w:val="32"/>
        </w:rPr>
      </w:pPr>
      <w:bookmarkStart w:id="16" w:name="Anchor198"/>
      <w:bookmarkEnd w:id="16"/>
      <w:r w:rsidRPr="000A7D92">
        <w:rPr>
          <w:sz w:val="32"/>
          <w:szCs w:val="32"/>
        </w:rPr>
        <w:t>* * *</w:t>
      </w:r>
    </w:p>
    <w:p w:rsidR="008C2BA0" w:rsidRPr="000A7D92" w:rsidRDefault="008C2BA0">
      <w:pPr>
        <w:rPr>
          <w:sz w:val="32"/>
          <w:szCs w:val="32"/>
        </w:rPr>
      </w:pPr>
    </w:p>
    <w:sectPr w:rsidR="008C2BA0" w:rsidRPr="000A7D9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C4"/>
    <w:rsid w:val="0003272B"/>
    <w:rsid w:val="000A7D92"/>
    <w:rsid w:val="006471C4"/>
    <w:rsid w:val="008C2B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7D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7D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955419">
      <w:bodyDiv w:val="1"/>
      <w:marLeft w:val="0"/>
      <w:marRight w:val="0"/>
      <w:marTop w:val="0"/>
      <w:marBottom w:val="0"/>
      <w:divBdr>
        <w:top w:val="none" w:sz="0" w:space="0" w:color="auto"/>
        <w:left w:val="none" w:sz="0" w:space="0" w:color="auto"/>
        <w:bottom w:val="none" w:sz="0" w:space="0" w:color="auto"/>
        <w:right w:val="none" w:sz="0" w:space="0" w:color="auto"/>
      </w:divBdr>
      <w:divsChild>
        <w:div w:id="1718703575">
          <w:marLeft w:val="0"/>
          <w:marRight w:val="0"/>
          <w:marTop w:val="0"/>
          <w:marBottom w:val="0"/>
          <w:divBdr>
            <w:top w:val="none" w:sz="0" w:space="0" w:color="auto"/>
            <w:left w:val="none" w:sz="0" w:space="0" w:color="auto"/>
            <w:bottom w:val="none" w:sz="0" w:space="0" w:color="auto"/>
            <w:right w:val="none" w:sz="0" w:space="0" w:color="auto"/>
          </w:divBdr>
        </w:div>
        <w:div w:id="1001589213">
          <w:marLeft w:val="0"/>
          <w:marRight w:val="0"/>
          <w:marTop w:val="0"/>
          <w:marBottom w:val="0"/>
          <w:divBdr>
            <w:top w:val="none" w:sz="0" w:space="0" w:color="auto"/>
            <w:left w:val="none" w:sz="0" w:space="0" w:color="auto"/>
            <w:bottom w:val="none" w:sz="0" w:space="0" w:color="auto"/>
            <w:right w:val="none" w:sz="0" w:space="0" w:color="auto"/>
          </w:divBdr>
        </w:div>
        <w:div w:id="1846633113">
          <w:marLeft w:val="0"/>
          <w:marRight w:val="0"/>
          <w:marTop w:val="0"/>
          <w:marBottom w:val="0"/>
          <w:divBdr>
            <w:top w:val="none" w:sz="0" w:space="0" w:color="auto"/>
            <w:left w:val="none" w:sz="0" w:space="0" w:color="auto"/>
            <w:bottom w:val="none" w:sz="0" w:space="0" w:color="auto"/>
            <w:right w:val="none" w:sz="0" w:space="0" w:color="auto"/>
          </w:divBdr>
        </w:div>
        <w:div w:id="508522247">
          <w:marLeft w:val="0"/>
          <w:marRight w:val="0"/>
          <w:marTop w:val="0"/>
          <w:marBottom w:val="0"/>
          <w:divBdr>
            <w:top w:val="none" w:sz="0" w:space="0" w:color="auto"/>
            <w:left w:val="none" w:sz="0" w:space="0" w:color="auto"/>
            <w:bottom w:val="none" w:sz="0" w:space="0" w:color="auto"/>
            <w:right w:val="none" w:sz="0" w:space="0" w:color="auto"/>
          </w:divBdr>
        </w:div>
        <w:div w:id="226186063">
          <w:marLeft w:val="0"/>
          <w:marRight w:val="0"/>
          <w:marTop w:val="0"/>
          <w:marBottom w:val="0"/>
          <w:divBdr>
            <w:top w:val="none" w:sz="0" w:space="0" w:color="auto"/>
            <w:left w:val="none" w:sz="0" w:space="0" w:color="auto"/>
            <w:bottom w:val="none" w:sz="0" w:space="0" w:color="auto"/>
            <w:right w:val="none" w:sz="0" w:space="0" w:color="auto"/>
          </w:divBdr>
        </w:div>
        <w:div w:id="209416183">
          <w:marLeft w:val="0"/>
          <w:marRight w:val="0"/>
          <w:marTop w:val="0"/>
          <w:marBottom w:val="0"/>
          <w:divBdr>
            <w:top w:val="none" w:sz="0" w:space="0" w:color="auto"/>
            <w:left w:val="none" w:sz="0" w:space="0" w:color="auto"/>
            <w:bottom w:val="none" w:sz="0" w:space="0" w:color="auto"/>
            <w:right w:val="none" w:sz="0" w:space="0" w:color="auto"/>
          </w:divBdr>
        </w:div>
        <w:div w:id="166137128">
          <w:marLeft w:val="0"/>
          <w:marRight w:val="0"/>
          <w:marTop w:val="0"/>
          <w:marBottom w:val="0"/>
          <w:divBdr>
            <w:top w:val="none" w:sz="0" w:space="0" w:color="auto"/>
            <w:left w:val="none" w:sz="0" w:space="0" w:color="auto"/>
            <w:bottom w:val="none" w:sz="0" w:space="0" w:color="auto"/>
            <w:right w:val="none" w:sz="0" w:space="0" w:color="auto"/>
          </w:divBdr>
        </w:div>
        <w:div w:id="1246113022">
          <w:marLeft w:val="0"/>
          <w:marRight w:val="0"/>
          <w:marTop w:val="0"/>
          <w:marBottom w:val="0"/>
          <w:divBdr>
            <w:top w:val="none" w:sz="0" w:space="0" w:color="auto"/>
            <w:left w:val="none" w:sz="0" w:space="0" w:color="auto"/>
            <w:bottom w:val="none" w:sz="0" w:space="0" w:color="auto"/>
            <w:right w:val="none" w:sz="0" w:space="0" w:color="auto"/>
          </w:divBdr>
        </w:div>
        <w:div w:id="760956648">
          <w:marLeft w:val="0"/>
          <w:marRight w:val="0"/>
          <w:marTop w:val="0"/>
          <w:marBottom w:val="0"/>
          <w:divBdr>
            <w:top w:val="none" w:sz="0" w:space="0" w:color="auto"/>
            <w:left w:val="none" w:sz="0" w:space="0" w:color="auto"/>
            <w:bottom w:val="none" w:sz="0" w:space="0" w:color="auto"/>
            <w:right w:val="none" w:sz="0" w:space="0" w:color="auto"/>
          </w:divBdr>
        </w:div>
        <w:div w:id="1233466610">
          <w:marLeft w:val="0"/>
          <w:marRight w:val="0"/>
          <w:marTop w:val="0"/>
          <w:marBottom w:val="0"/>
          <w:divBdr>
            <w:top w:val="none" w:sz="0" w:space="0" w:color="auto"/>
            <w:left w:val="none" w:sz="0" w:space="0" w:color="auto"/>
            <w:bottom w:val="none" w:sz="0" w:space="0" w:color="auto"/>
            <w:right w:val="none" w:sz="0" w:space="0" w:color="auto"/>
          </w:divBdr>
        </w:div>
        <w:div w:id="849100642">
          <w:marLeft w:val="0"/>
          <w:marRight w:val="0"/>
          <w:marTop w:val="0"/>
          <w:marBottom w:val="0"/>
          <w:divBdr>
            <w:top w:val="none" w:sz="0" w:space="0" w:color="auto"/>
            <w:left w:val="none" w:sz="0" w:space="0" w:color="auto"/>
            <w:bottom w:val="none" w:sz="0" w:space="0" w:color="auto"/>
            <w:right w:val="none" w:sz="0" w:space="0" w:color="auto"/>
          </w:divBdr>
        </w:div>
        <w:div w:id="814680338">
          <w:marLeft w:val="0"/>
          <w:marRight w:val="0"/>
          <w:marTop w:val="0"/>
          <w:marBottom w:val="0"/>
          <w:divBdr>
            <w:top w:val="none" w:sz="0" w:space="0" w:color="auto"/>
            <w:left w:val="none" w:sz="0" w:space="0" w:color="auto"/>
            <w:bottom w:val="none" w:sz="0" w:space="0" w:color="auto"/>
            <w:right w:val="none" w:sz="0" w:space="0" w:color="auto"/>
          </w:divBdr>
        </w:div>
        <w:div w:id="2056661165">
          <w:marLeft w:val="0"/>
          <w:marRight w:val="0"/>
          <w:marTop w:val="0"/>
          <w:marBottom w:val="0"/>
          <w:divBdr>
            <w:top w:val="none" w:sz="0" w:space="0" w:color="auto"/>
            <w:left w:val="none" w:sz="0" w:space="0" w:color="auto"/>
            <w:bottom w:val="none" w:sz="0" w:space="0" w:color="auto"/>
            <w:right w:val="none" w:sz="0" w:space="0" w:color="auto"/>
          </w:divBdr>
        </w:div>
      </w:divsChild>
    </w:div>
    <w:div w:id="1354527274">
      <w:bodyDiv w:val="1"/>
      <w:marLeft w:val="0"/>
      <w:marRight w:val="0"/>
      <w:marTop w:val="0"/>
      <w:marBottom w:val="0"/>
      <w:divBdr>
        <w:top w:val="none" w:sz="0" w:space="0" w:color="auto"/>
        <w:left w:val="none" w:sz="0" w:space="0" w:color="auto"/>
        <w:bottom w:val="none" w:sz="0" w:space="0" w:color="auto"/>
        <w:right w:val="none" w:sz="0" w:space="0" w:color="auto"/>
      </w:divBdr>
      <w:divsChild>
        <w:div w:id="1681423592">
          <w:marLeft w:val="0"/>
          <w:marRight w:val="0"/>
          <w:marTop w:val="0"/>
          <w:marBottom w:val="0"/>
          <w:divBdr>
            <w:top w:val="none" w:sz="0" w:space="0" w:color="auto"/>
            <w:left w:val="none" w:sz="0" w:space="0" w:color="auto"/>
            <w:bottom w:val="none" w:sz="0" w:space="0" w:color="auto"/>
            <w:right w:val="none" w:sz="0" w:space="0" w:color="auto"/>
          </w:divBdr>
        </w:div>
        <w:div w:id="135421333">
          <w:marLeft w:val="0"/>
          <w:marRight w:val="0"/>
          <w:marTop w:val="0"/>
          <w:marBottom w:val="0"/>
          <w:divBdr>
            <w:top w:val="none" w:sz="0" w:space="0" w:color="auto"/>
            <w:left w:val="none" w:sz="0" w:space="0" w:color="auto"/>
            <w:bottom w:val="none" w:sz="0" w:space="0" w:color="auto"/>
            <w:right w:val="none" w:sz="0" w:space="0" w:color="auto"/>
          </w:divBdr>
        </w:div>
        <w:div w:id="1371300675">
          <w:marLeft w:val="0"/>
          <w:marRight w:val="0"/>
          <w:marTop w:val="0"/>
          <w:marBottom w:val="0"/>
          <w:divBdr>
            <w:top w:val="none" w:sz="0" w:space="0" w:color="auto"/>
            <w:left w:val="none" w:sz="0" w:space="0" w:color="auto"/>
            <w:bottom w:val="none" w:sz="0" w:space="0" w:color="auto"/>
            <w:right w:val="none" w:sz="0" w:space="0" w:color="auto"/>
          </w:divBdr>
        </w:div>
        <w:div w:id="583026972">
          <w:marLeft w:val="0"/>
          <w:marRight w:val="0"/>
          <w:marTop w:val="0"/>
          <w:marBottom w:val="0"/>
          <w:divBdr>
            <w:top w:val="none" w:sz="0" w:space="0" w:color="auto"/>
            <w:left w:val="none" w:sz="0" w:space="0" w:color="auto"/>
            <w:bottom w:val="none" w:sz="0" w:space="0" w:color="auto"/>
            <w:right w:val="none" w:sz="0" w:space="0" w:color="auto"/>
          </w:divBdr>
        </w:div>
        <w:div w:id="1330332137">
          <w:marLeft w:val="0"/>
          <w:marRight w:val="0"/>
          <w:marTop w:val="0"/>
          <w:marBottom w:val="0"/>
          <w:divBdr>
            <w:top w:val="none" w:sz="0" w:space="0" w:color="auto"/>
            <w:left w:val="none" w:sz="0" w:space="0" w:color="auto"/>
            <w:bottom w:val="none" w:sz="0" w:space="0" w:color="auto"/>
            <w:right w:val="none" w:sz="0" w:space="0" w:color="auto"/>
          </w:divBdr>
        </w:div>
        <w:div w:id="760489755">
          <w:marLeft w:val="0"/>
          <w:marRight w:val="0"/>
          <w:marTop w:val="0"/>
          <w:marBottom w:val="0"/>
          <w:divBdr>
            <w:top w:val="none" w:sz="0" w:space="0" w:color="auto"/>
            <w:left w:val="none" w:sz="0" w:space="0" w:color="auto"/>
            <w:bottom w:val="none" w:sz="0" w:space="0" w:color="auto"/>
            <w:right w:val="none" w:sz="0" w:space="0" w:color="auto"/>
          </w:divBdr>
        </w:div>
        <w:div w:id="1080325423">
          <w:marLeft w:val="0"/>
          <w:marRight w:val="0"/>
          <w:marTop w:val="0"/>
          <w:marBottom w:val="0"/>
          <w:divBdr>
            <w:top w:val="none" w:sz="0" w:space="0" w:color="auto"/>
            <w:left w:val="none" w:sz="0" w:space="0" w:color="auto"/>
            <w:bottom w:val="none" w:sz="0" w:space="0" w:color="auto"/>
            <w:right w:val="none" w:sz="0" w:space="0" w:color="auto"/>
          </w:divBdr>
        </w:div>
        <w:div w:id="687290240">
          <w:marLeft w:val="0"/>
          <w:marRight w:val="0"/>
          <w:marTop w:val="0"/>
          <w:marBottom w:val="0"/>
          <w:divBdr>
            <w:top w:val="none" w:sz="0" w:space="0" w:color="auto"/>
            <w:left w:val="none" w:sz="0" w:space="0" w:color="auto"/>
            <w:bottom w:val="none" w:sz="0" w:space="0" w:color="auto"/>
            <w:right w:val="none" w:sz="0" w:space="0" w:color="auto"/>
          </w:divBdr>
        </w:div>
        <w:div w:id="1016151307">
          <w:marLeft w:val="0"/>
          <w:marRight w:val="0"/>
          <w:marTop w:val="0"/>
          <w:marBottom w:val="0"/>
          <w:divBdr>
            <w:top w:val="none" w:sz="0" w:space="0" w:color="auto"/>
            <w:left w:val="none" w:sz="0" w:space="0" w:color="auto"/>
            <w:bottom w:val="none" w:sz="0" w:space="0" w:color="auto"/>
            <w:right w:val="none" w:sz="0" w:space="0" w:color="auto"/>
          </w:divBdr>
        </w:div>
        <w:div w:id="1742604068">
          <w:marLeft w:val="0"/>
          <w:marRight w:val="0"/>
          <w:marTop w:val="0"/>
          <w:marBottom w:val="0"/>
          <w:divBdr>
            <w:top w:val="none" w:sz="0" w:space="0" w:color="auto"/>
            <w:left w:val="none" w:sz="0" w:space="0" w:color="auto"/>
            <w:bottom w:val="none" w:sz="0" w:space="0" w:color="auto"/>
            <w:right w:val="none" w:sz="0" w:space="0" w:color="auto"/>
          </w:divBdr>
        </w:div>
        <w:div w:id="1931238367">
          <w:marLeft w:val="0"/>
          <w:marRight w:val="0"/>
          <w:marTop w:val="0"/>
          <w:marBottom w:val="0"/>
          <w:divBdr>
            <w:top w:val="none" w:sz="0" w:space="0" w:color="auto"/>
            <w:left w:val="none" w:sz="0" w:space="0" w:color="auto"/>
            <w:bottom w:val="none" w:sz="0" w:space="0" w:color="auto"/>
            <w:right w:val="none" w:sz="0" w:space="0" w:color="auto"/>
          </w:divBdr>
        </w:div>
        <w:div w:id="777793121">
          <w:marLeft w:val="0"/>
          <w:marRight w:val="0"/>
          <w:marTop w:val="0"/>
          <w:marBottom w:val="0"/>
          <w:divBdr>
            <w:top w:val="none" w:sz="0" w:space="0" w:color="auto"/>
            <w:left w:val="none" w:sz="0" w:space="0" w:color="auto"/>
            <w:bottom w:val="none" w:sz="0" w:space="0" w:color="auto"/>
            <w:right w:val="none" w:sz="0" w:space="0" w:color="auto"/>
          </w:divBdr>
        </w:div>
        <w:div w:id="1464275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2247</Characters>
  <Application>Microsoft Office Word</Application>
  <DocSecurity>0</DocSecurity>
  <Lines>18</Lines>
  <Paragraphs>5</Paragraphs>
  <ScaleCrop>false</ScaleCrop>
  <Company/>
  <LinksUpToDate>false</LinksUpToDate>
  <CharactersWithSpaces>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2020-04-26T11:41:00Z</dcterms:created>
  <dcterms:modified xsi:type="dcterms:W3CDTF">2020-04-26T11:41:00Z</dcterms:modified>
</cp:coreProperties>
</file>