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AB1" w:rsidRPr="00B23AB1" w:rsidRDefault="00B23AB1" w:rsidP="00B23AB1">
      <w:pPr>
        <w:jc w:val="center"/>
        <w:rPr>
          <w:sz w:val="32"/>
          <w:szCs w:val="32"/>
          <w:lang w:bidi="ar-EG"/>
        </w:rPr>
      </w:pPr>
      <w:bookmarkStart w:id="0" w:name="Anchor1"/>
      <w:bookmarkEnd w:id="0"/>
      <w:r w:rsidRPr="00B23AB1">
        <w:rPr>
          <w:sz w:val="32"/>
          <w:szCs w:val="32"/>
          <w:rtl/>
        </w:rPr>
        <w:t>الطعن رق</w:t>
      </w:r>
      <w:bookmarkStart w:id="1" w:name="_GoBack"/>
      <w:bookmarkEnd w:id="1"/>
      <w:r w:rsidRPr="00B23AB1">
        <w:rPr>
          <w:sz w:val="32"/>
          <w:szCs w:val="32"/>
          <w:rtl/>
        </w:rPr>
        <w:t>م 71 و 127/2013</w:t>
      </w:r>
    </w:p>
    <w:p w:rsidR="00B23AB1" w:rsidRPr="00B23AB1" w:rsidRDefault="00B23AB1" w:rsidP="00B23AB1">
      <w:pPr>
        <w:rPr>
          <w:sz w:val="32"/>
          <w:szCs w:val="32"/>
          <w:lang w:bidi="ar-EG"/>
        </w:rPr>
      </w:pPr>
      <w:bookmarkStart w:id="2" w:name="Anchor6"/>
      <w:bookmarkEnd w:id="2"/>
      <w:r w:rsidRPr="00B23AB1">
        <w:rPr>
          <w:sz w:val="32"/>
          <w:szCs w:val="32"/>
          <w:rtl/>
        </w:rPr>
        <w:t>هيئة المحكمة</w:t>
      </w:r>
      <w:r w:rsidRPr="00B23AB1">
        <w:rPr>
          <w:sz w:val="32"/>
          <w:szCs w:val="32"/>
          <w:lang w:bidi="ar-EG"/>
        </w:rPr>
        <w:t xml:space="preserve">: </w:t>
      </w:r>
      <w:r w:rsidRPr="00B23AB1">
        <w:rPr>
          <w:sz w:val="32"/>
          <w:szCs w:val="32"/>
          <w:rtl/>
        </w:rPr>
        <w:t>برئاسة السيد المستشار أنــور علي بورســـلي وكيل المحكمة وعضوية السادة المستشارين زيــاد محمــد غــازي وأحمــد عـلي راجــح ومجـــدي محمد جــاد وفيصل عبد الحميد حرحش</w:t>
      </w:r>
    </w:p>
    <w:bookmarkStart w:id="3" w:name="Anchor26"/>
    <w:bookmarkEnd w:id="3"/>
    <w:p w:rsidR="00B23AB1" w:rsidRPr="00B23AB1" w:rsidRDefault="00B23AB1" w:rsidP="00B23AB1">
      <w:pPr>
        <w:rPr>
          <w:sz w:val="32"/>
          <w:szCs w:val="32"/>
          <w:lang w:bidi="ar-EG"/>
        </w:rPr>
      </w:pPr>
      <w:r w:rsidRPr="00B23AB1">
        <w:rPr>
          <w:sz w:val="32"/>
          <w:szCs w:val="32"/>
          <w:lang w:bidi="ar-EG"/>
        </w:rPr>
        <w:fldChar w:fldCharType="begin"/>
      </w:r>
      <w:r w:rsidRPr="00B23AB1">
        <w:rPr>
          <w:sz w:val="32"/>
          <w:szCs w:val="32"/>
          <w:lang w:bidi="ar-EG"/>
        </w:rPr>
        <w:instrText xml:space="preserve"> HYPERLINK "http://www.law.gov.kw/KWT_CC-Ar/00_2014/00_%D8%A7%D9%84%D8%AF%D8%A7%D8%A6%D8%B1%D8%A9%20%D8%A7%D9%84%D8%AA%D8%AC%D8%A7%D8%B1%D9%8A%D8%A9/KWT-CC-Ar_2014-06-04_00071_Taan.html" \l "TM2014_71_1" </w:instrText>
      </w:r>
      <w:r w:rsidRPr="00B23AB1">
        <w:rPr>
          <w:sz w:val="32"/>
          <w:szCs w:val="32"/>
          <w:lang w:bidi="ar-EG"/>
        </w:rPr>
        <w:fldChar w:fldCharType="separate"/>
      </w:r>
      <w:r w:rsidRPr="00B23AB1">
        <w:rPr>
          <w:rStyle w:val="Hyperlink"/>
          <w:sz w:val="32"/>
          <w:szCs w:val="32"/>
          <w:lang w:bidi="ar-EG"/>
        </w:rPr>
        <w:t xml:space="preserve">1- </w:t>
      </w:r>
      <w:r w:rsidRPr="00B23AB1">
        <w:rPr>
          <w:rStyle w:val="Hyperlink"/>
          <w:sz w:val="32"/>
          <w:szCs w:val="32"/>
          <w:rtl/>
        </w:rPr>
        <w:t>إن فوائد التأخير في الوفاء بالديون التجارية تسري من تاريخ إستحقاقها ما دام محلها مبلغاً من النقود معلوم المقدار وقت نشوئه وإلّا فهي تسري من تاريخ الحكم النهائي</w:t>
      </w:r>
      <w:r w:rsidRPr="00B23AB1">
        <w:rPr>
          <w:rStyle w:val="Hyperlink"/>
          <w:sz w:val="32"/>
          <w:szCs w:val="32"/>
          <w:lang w:bidi="ar-EG"/>
        </w:rPr>
        <w:t>.</w:t>
      </w:r>
      <w:r w:rsidRPr="00B23AB1">
        <w:rPr>
          <w:sz w:val="32"/>
          <w:szCs w:val="32"/>
          <w:lang w:bidi="ar-EG"/>
        </w:rPr>
        <w:fldChar w:fldCharType="end"/>
      </w:r>
    </w:p>
    <w:bookmarkStart w:id="4" w:name="Anchor43"/>
    <w:bookmarkEnd w:id="4"/>
    <w:p w:rsidR="00B23AB1" w:rsidRPr="00B23AB1" w:rsidRDefault="00B23AB1" w:rsidP="00B23AB1">
      <w:pPr>
        <w:rPr>
          <w:sz w:val="32"/>
          <w:szCs w:val="32"/>
          <w:lang w:bidi="ar-EG"/>
        </w:rPr>
      </w:pPr>
      <w:r w:rsidRPr="00B23AB1">
        <w:rPr>
          <w:sz w:val="32"/>
          <w:szCs w:val="32"/>
          <w:lang w:bidi="ar-EG"/>
        </w:rPr>
        <w:fldChar w:fldCharType="begin"/>
      </w:r>
      <w:r w:rsidRPr="00B23AB1">
        <w:rPr>
          <w:sz w:val="32"/>
          <w:szCs w:val="32"/>
          <w:lang w:bidi="ar-EG"/>
        </w:rPr>
        <w:instrText xml:space="preserve"> HYPERLINK "http://www.law.gov.kw/KWT_CC-Ar/00_2014/00_%D8%A7%D9%84%D8%AF%D8%A7%D8%A6%D8%B1%D8%A9%20%D8%A7%D9%84%D8%AA%D8%AC%D8%A7%D8%B1%D9%8A%D8%A9/KWT-CC-Ar_2014-06-04_00071_Taan.html" \l "TM2014_71_2" </w:instrText>
      </w:r>
      <w:r w:rsidRPr="00B23AB1">
        <w:rPr>
          <w:sz w:val="32"/>
          <w:szCs w:val="32"/>
          <w:lang w:bidi="ar-EG"/>
        </w:rPr>
        <w:fldChar w:fldCharType="separate"/>
      </w:r>
      <w:r w:rsidRPr="00B23AB1">
        <w:rPr>
          <w:rStyle w:val="Hyperlink"/>
          <w:sz w:val="32"/>
          <w:szCs w:val="32"/>
          <w:lang w:bidi="ar-EG"/>
        </w:rPr>
        <w:t xml:space="preserve">2- </w:t>
      </w:r>
      <w:r w:rsidRPr="00B23AB1">
        <w:rPr>
          <w:rStyle w:val="Hyperlink"/>
          <w:sz w:val="32"/>
          <w:szCs w:val="32"/>
          <w:rtl/>
        </w:rPr>
        <w:t>إن محل الإلتزام يكون معلوم المقدار عندما يكون تحديده مستنداً الى أسس ثابتة بإتفاق الطرفين بحيث لا يكون للقضاء سلطة واسعة في تقديره رغم نزاع المدين في مقداره</w:t>
      </w:r>
      <w:r w:rsidRPr="00B23AB1">
        <w:rPr>
          <w:rStyle w:val="Hyperlink"/>
          <w:sz w:val="32"/>
          <w:szCs w:val="32"/>
          <w:lang w:bidi="ar-EG"/>
        </w:rPr>
        <w:t>.</w:t>
      </w:r>
      <w:r w:rsidRPr="00B23AB1">
        <w:rPr>
          <w:sz w:val="32"/>
          <w:szCs w:val="32"/>
          <w:lang w:bidi="ar-EG"/>
        </w:rPr>
        <w:fldChar w:fldCharType="end"/>
      </w:r>
    </w:p>
    <w:bookmarkStart w:id="5" w:name="Anchor60"/>
    <w:bookmarkEnd w:id="5"/>
    <w:p w:rsidR="00B23AB1" w:rsidRPr="00B23AB1" w:rsidRDefault="00B23AB1" w:rsidP="00B23AB1">
      <w:pPr>
        <w:rPr>
          <w:sz w:val="32"/>
          <w:szCs w:val="32"/>
          <w:lang w:bidi="ar-EG"/>
        </w:rPr>
      </w:pPr>
      <w:r w:rsidRPr="00B23AB1">
        <w:rPr>
          <w:sz w:val="32"/>
          <w:szCs w:val="32"/>
          <w:lang w:bidi="ar-EG"/>
        </w:rPr>
        <w:fldChar w:fldCharType="begin"/>
      </w:r>
      <w:r w:rsidRPr="00B23AB1">
        <w:rPr>
          <w:sz w:val="32"/>
          <w:szCs w:val="32"/>
          <w:lang w:bidi="ar-EG"/>
        </w:rPr>
        <w:instrText xml:space="preserve"> HYPERLINK "http://www.law.gov.kw/KWT_CC-Ar/00_2014/00_%D8%A7%D9%84%D8%AF%D8%A7%D8%A6%D8%B1%D8%A9%20%D8%A7%D9%84%D8%AA%D8%AC%D8%A7%D8%B1%D9%8A%D8%A9/KWT-CC-Ar_2014-06-04_00071_Taan.html" \l "TM2014_71_3" </w:instrText>
      </w:r>
      <w:r w:rsidRPr="00B23AB1">
        <w:rPr>
          <w:sz w:val="32"/>
          <w:szCs w:val="32"/>
          <w:lang w:bidi="ar-EG"/>
        </w:rPr>
        <w:fldChar w:fldCharType="separate"/>
      </w:r>
      <w:r w:rsidRPr="00B23AB1">
        <w:rPr>
          <w:rStyle w:val="Hyperlink"/>
          <w:sz w:val="32"/>
          <w:szCs w:val="32"/>
          <w:lang w:bidi="ar-EG"/>
        </w:rPr>
        <w:t xml:space="preserve">3- </w:t>
      </w:r>
      <w:r w:rsidRPr="00B23AB1">
        <w:rPr>
          <w:rStyle w:val="Hyperlink"/>
          <w:sz w:val="32"/>
          <w:szCs w:val="32"/>
          <w:rtl/>
        </w:rPr>
        <w:t>إن الحكم الذي قضى باستحقاق الفوائد على مبلغ الدين الناشىء عن عقد إنشاء وصيانة برج تجاري إستناداً الى أسس وقواعد إحتساب المستحقات والتي نص عليها العقد هو حكم صحيح قانوناً</w:t>
      </w:r>
      <w:r w:rsidRPr="00B23AB1">
        <w:rPr>
          <w:rStyle w:val="Hyperlink"/>
          <w:sz w:val="32"/>
          <w:szCs w:val="32"/>
          <w:lang w:bidi="ar-EG"/>
        </w:rPr>
        <w:t>.</w:t>
      </w:r>
      <w:r w:rsidRPr="00B23AB1">
        <w:rPr>
          <w:sz w:val="32"/>
          <w:szCs w:val="32"/>
          <w:lang w:bidi="ar-EG"/>
        </w:rPr>
        <w:fldChar w:fldCharType="end"/>
      </w:r>
    </w:p>
    <w:bookmarkStart w:id="6" w:name="Anchor78"/>
    <w:bookmarkEnd w:id="6"/>
    <w:p w:rsidR="00B23AB1" w:rsidRPr="00B23AB1" w:rsidRDefault="00B23AB1" w:rsidP="00B23AB1">
      <w:pPr>
        <w:rPr>
          <w:sz w:val="32"/>
          <w:szCs w:val="32"/>
          <w:lang w:bidi="ar-EG"/>
        </w:rPr>
      </w:pPr>
      <w:r w:rsidRPr="00B23AB1">
        <w:rPr>
          <w:sz w:val="32"/>
          <w:szCs w:val="32"/>
          <w:lang w:bidi="ar-EG"/>
        </w:rPr>
        <w:fldChar w:fldCharType="begin"/>
      </w:r>
      <w:r w:rsidRPr="00B23AB1">
        <w:rPr>
          <w:sz w:val="32"/>
          <w:szCs w:val="32"/>
          <w:lang w:bidi="ar-EG"/>
        </w:rPr>
        <w:instrText xml:space="preserve"> HYPERLINK "http://www.law.gov.kw/KWT_CC-Ar/00_2014/00_%D8%A7%D9%84%D8%AF%D8%A7%D8%A6%D8%B1%D8%A9%20%D8%A7%D9%84%D8%AA%D8%AC%D8%A7%D8%B1%D9%8A%D8%A9/KWT-CC-Ar_2014-06-04_00071_Taan.html" \l "TM2014_71_4" </w:instrText>
      </w:r>
      <w:r w:rsidRPr="00B23AB1">
        <w:rPr>
          <w:sz w:val="32"/>
          <w:szCs w:val="32"/>
          <w:lang w:bidi="ar-EG"/>
        </w:rPr>
        <w:fldChar w:fldCharType="separate"/>
      </w:r>
      <w:r w:rsidRPr="00B23AB1">
        <w:rPr>
          <w:rStyle w:val="Hyperlink"/>
          <w:sz w:val="32"/>
          <w:szCs w:val="32"/>
          <w:lang w:bidi="ar-EG"/>
        </w:rPr>
        <w:t xml:space="preserve">4- </w:t>
      </w:r>
      <w:r w:rsidRPr="00B23AB1">
        <w:rPr>
          <w:rStyle w:val="Hyperlink"/>
          <w:sz w:val="32"/>
          <w:szCs w:val="32"/>
          <w:rtl/>
        </w:rPr>
        <w:t>إن لمحكمة الموضوع تقدير الأدلة والمستندات في الدعوى والأخذ بتقرير الخبير في حال إطمئنانها الى الأسباب المبني عليها دون أن تكون ملزمة بالرد إستقلالاً على الطعون الموجهة إليه</w:t>
      </w:r>
      <w:r w:rsidRPr="00B23AB1">
        <w:rPr>
          <w:rStyle w:val="Hyperlink"/>
          <w:sz w:val="32"/>
          <w:szCs w:val="32"/>
          <w:lang w:bidi="ar-EG"/>
        </w:rPr>
        <w:t>.</w:t>
      </w:r>
      <w:r w:rsidRPr="00B23AB1">
        <w:rPr>
          <w:sz w:val="32"/>
          <w:szCs w:val="32"/>
          <w:lang w:bidi="ar-EG"/>
        </w:rPr>
        <w:fldChar w:fldCharType="end"/>
      </w:r>
    </w:p>
    <w:bookmarkStart w:id="7" w:name="Anchor97"/>
    <w:bookmarkEnd w:id="7"/>
    <w:p w:rsidR="00B23AB1" w:rsidRPr="00B23AB1" w:rsidRDefault="00B23AB1" w:rsidP="00B23AB1">
      <w:pPr>
        <w:rPr>
          <w:sz w:val="32"/>
          <w:szCs w:val="32"/>
          <w:lang w:bidi="ar-EG"/>
        </w:rPr>
      </w:pPr>
      <w:r w:rsidRPr="00B23AB1">
        <w:rPr>
          <w:sz w:val="32"/>
          <w:szCs w:val="32"/>
          <w:lang w:bidi="ar-EG"/>
        </w:rPr>
        <w:fldChar w:fldCharType="begin"/>
      </w:r>
      <w:r w:rsidRPr="00B23AB1">
        <w:rPr>
          <w:sz w:val="32"/>
          <w:szCs w:val="32"/>
          <w:lang w:bidi="ar-EG"/>
        </w:rPr>
        <w:instrText xml:space="preserve"> HYPERLINK "http://www.law.gov.kw/KWT_CC-Ar/00_2014/00_%D8%A7%D9%84%D8%AF%D8%A7%D8%A6%D8%B1%D8%A9%20%D8%A7%D9%84%D8%AA%D8%AC%D8%A7%D8%B1%D9%8A%D8%A9/KWT-CC-Ar_2014-06-04_00071_Taan.html" \l "TM2014_71_5" </w:instrText>
      </w:r>
      <w:r w:rsidRPr="00B23AB1">
        <w:rPr>
          <w:sz w:val="32"/>
          <w:szCs w:val="32"/>
          <w:lang w:bidi="ar-EG"/>
        </w:rPr>
        <w:fldChar w:fldCharType="separate"/>
      </w:r>
      <w:r w:rsidRPr="00B23AB1">
        <w:rPr>
          <w:rStyle w:val="Hyperlink"/>
          <w:sz w:val="32"/>
          <w:szCs w:val="32"/>
          <w:lang w:bidi="ar-EG"/>
        </w:rPr>
        <w:t xml:space="preserve">5- </w:t>
      </w:r>
      <w:r w:rsidRPr="00B23AB1">
        <w:rPr>
          <w:rStyle w:val="Hyperlink"/>
          <w:sz w:val="32"/>
          <w:szCs w:val="32"/>
          <w:rtl/>
        </w:rPr>
        <w:t>إن قيمة أتعاب المحاماة الفعلية المقضي بها للمحكوم له تخضع لتقدير محكمة الموضوع شرط أن تراعي موضوع الدعوى ودرجة التقاضي والجهد المبذول فيها</w:t>
      </w:r>
      <w:r w:rsidRPr="00B23AB1">
        <w:rPr>
          <w:rStyle w:val="Hyperlink"/>
          <w:sz w:val="32"/>
          <w:szCs w:val="32"/>
          <w:lang w:bidi="ar-EG"/>
        </w:rPr>
        <w:t>.</w:t>
      </w:r>
      <w:r w:rsidRPr="00B23AB1">
        <w:rPr>
          <w:sz w:val="32"/>
          <w:szCs w:val="32"/>
          <w:lang w:bidi="ar-EG"/>
        </w:rPr>
        <w:fldChar w:fldCharType="end"/>
      </w:r>
    </w:p>
    <w:bookmarkStart w:id="8" w:name="Anchor114"/>
    <w:bookmarkEnd w:id="8"/>
    <w:p w:rsidR="00B23AB1" w:rsidRPr="00B23AB1" w:rsidRDefault="00B23AB1" w:rsidP="00B23AB1">
      <w:pPr>
        <w:rPr>
          <w:sz w:val="32"/>
          <w:szCs w:val="32"/>
          <w:lang w:bidi="ar-EG"/>
        </w:rPr>
      </w:pPr>
      <w:r w:rsidRPr="00B23AB1">
        <w:rPr>
          <w:sz w:val="32"/>
          <w:szCs w:val="32"/>
          <w:lang w:bidi="ar-EG"/>
        </w:rPr>
        <w:fldChar w:fldCharType="begin"/>
      </w:r>
      <w:r w:rsidRPr="00B23AB1">
        <w:rPr>
          <w:sz w:val="32"/>
          <w:szCs w:val="32"/>
          <w:lang w:bidi="ar-EG"/>
        </w:rPr>
        <w:instrText xml:space="preserve"> HYPERLINK "http://www.law.gov.kw/KWT_CC-Ar/00_2014/00_%D8%A7%D9%84%D8%AF%D8%A7%D8%A6%D8%B1%D8%A9%20%D8%A7%D9%84%D8%AA%D8%AC%D8%A7%D8%B1%D9%8A%D8%A9/KWT-CC-Ar_2014-06-04_00071_Taan.html" \l "TM2014_71_6" </w:instrText>
      </w:r>
      <w:r w:rsidRPr="00B23AB1">
        <w:rPr>
          <w:sz w:val="32"/>
          <w:szCs w:val="32"/>
          <w:lang w:bidi="ar-EG"/>
        </w:rPr>
        <w:fldChar w:fldCharType="separate"/>
      </w:r>
      <w:r w:rsidRPr="00B23AB1">
        <w:rPr>
          <w:rStyle w:val="Hyperlink"/>
          <w:sz w:val="32"/>
          <w:szCs w:val="32"/>
          <w:lang w:bidi="ar-EG"/>
        </w:rPr>
        <w:t xml:space="preserve">6- </w:t>
      </w:r>
      <w:r w:rsidRPr="00B23AB1">
        <w:rPr>
          <w:rStyle w:val="Hyperlink"/>
          <w:sz w:val="32"/>
          <w:szCs w:val="32"/>
          <w:rtl/>
        </w:rPr>
        <w:t>إن أخذ محكمة الموضوع بتقرير الخبير المقدم في الدعوى باعتباره عنصراً من عناصر الإثبات فيها يقوم على شرط بناء حكمها على أسباب سائغة والرد على ما أثاره الخصم من دفاع</w:t>
      </w:r>
      <w:r w:rsidRPr="00B23AB1">
        <w:rPr>
          <w:rStyle w:val="Hyperlink"/>
          <w:sz w:val="32"/>
          <w:szCs w:val="32"/>
          <w:lang w:bidi="ar-EG"/>
        </w:rPr>
        <w:t>.</w:t>
      </w:r>
      <w:r w:rsidRPr="00B23AB1">
        <w:rPr>
          <w:sz w:val="32"/>
          <w:szCs w:val="32"/>
          <w:lang w:bidi="ar-EG"/>
        </w:rPr>
        <w:fldChar w:fldCharType="end"/>
      </w:r>
    </w:p>
    <w:bookmarkStart w:id="9" w:name="Anchor133"/>
    <w:bookmarkEnd w:id="9"/>
    <w:p w:rsidR="00B23AB1" w:rsidRPr="00B23AB1" w:rsidRDefault="00B23AB1" w:rsidP="00B23AB1">
      <w:pPr>
        <w:rPr>
          <w:sz w:val="32"/>
          <w:szCs w:val="32"/>
          <w:lang w:bidi="ar-EG"/>
        </w:rPr>
      </w:pPr>
      <w:r w:rsidRPr="00B23AB1">
        <w:rPr>
          <w:sz w:val="32"/>
          <w:szCs w:val="32"/>
          <w:lang w:bidi="ar-EG"/>
        </w:rPr>
        <w:fldChar w:fldCharType="begin"/>
      </w:r>
      <w:r w:rsidRPr="00B23AB1">
        <w:rPr>
          <w:sz w:val="32"/>
          <w:szCs w:val="32"/>
          <w:lang w:bidi="ar-EG"/>
        </w:rPr>
        <w:instrText xml:space="preserve"> HYPERLINK "http://www.law.gov.kw/KWT_CC-Ar/00_2014/00_%D8%A7%D9%84%D8%AF%D8%A7%D8%A6%D8%B1%D8%A9%20%D8%A7%D9%84%D8%AA%D8%AC%D8%A7%D8%B1%D9%8A%D8%A9/KWT-CC-Ar_2014-06-04_00071_Taan.html" \l "TM2014_71_7" </w:instrText>
      </w:r>
      <w:r w:rsidRPr="00B23AB1">
        <w:rPr>
          <w:sz w:val="32"/>
          <w:szCs w:val="32"/>
          <w:lang w:bidi="ar-EG"/>
        </w:rPr>
        <w:fldChar w:fldCharType="separate"/>
      </w:r>
      <w:r w:rsidRPr="00B23AB1">
        <w:rPr>
          <w:rStyle w:val="Hyperlink"/>
          <w:sz w:val="32"/>
          <w:szCs w:val="32"/>
          <w:lang w:bidi="ar-EG"/>
        </w:rPr>
        <w:t xml:space="preserve">7- </w:t>
      </w:r>
      <w:r w:rsidRPr="00B23AB1">
        <w:rPr>
          <w:rStyle w:val="Hyperlink"/>
          <w:sz w:val="32"/>
          <w:szCs w:val="32"/>
          <w:rtl/>
        </w:rPr>
        <w:t>إن الحكم الصادر في دعوى أعمال إنشاء وصيانة برج تجاري هو حكم معيب بالقصور في التسبيب والفساد في الإستدلال لاستناده الى تقرير الخبير المنتدب رغم عدم مواجهته الأدلة والقرائن التي أدلى بها الخصم لإثبات قيامه بتنفيذ أعمال إضافية</w:t>
      </w:r>
      <w:r w:rsidRPr="00B23AB1">
        <w:rPr>
          <w:rStyle w:val="Hyperlink"/>
          <w:sz w:val="32"/>
          <w:szCs w:val="32"/>
          <w:lang w:bidi="ar-EG"/>
        </w:rPr>
        <w:t>.</w:t>
      </w:r>
      <w:r w:rsidRPr="00B23AB1">
        <w:rPr>
          <w:sz w:val="32"/>
          <w:szCs w:val="32"/>
          <w:lang w:bidi="ar-EG"/>
        </w:rPr>
        <w:fldChar w:fldCharType="end"/>
      </w:r>
      <w:r w:rsidRPr="00B23AB1">
        <w:rPr>
          <w:sz w:val="32"/>
          <w:szCs w:val="32"/>
          <w:lang w:bidi="ar-EG"/>
        </w:rPr>
        <w:br/>
      </w:r>
      <w:r w:rsidRPr="00B23AB1">
        <w:rPr>
          <w:sz w:val="32"/>
          <w:szCs w:val="32"/>
          <w:lang w:bidi="ar-EG"/>
        </w:rPr>
        <w:br/>
      </w:r>
      <w:r w:rsidRPr="00B23AB1">
        <w:rPr>
          <w:sz w:val="32"/>
          <w:szCs w:val="32"/>
          <w:u w:val="single"/>
          <w:rtl/>
        </w:rPr>
        <w:t>ملاحظة</w:t>
      </w:r>
      <w:r w:rsidRPr="00B23AB1">
        <w:rPr>
          <w:sz w:val="32"/>
          <w:szCs w:val="32"/>
          <w:u w:val="single"/>
          <w:lang w:bidi="ar-EG"/>
        </w:rPr>
        <w:t xml:space="preserve"> :</w:t>
      </w:r>
      <w:r w:rsidRPr="00B23AB1">
        <w:rPr>
          <w:sz w:val="32"/>
          <w:szCs w:val="32"/>
          <w:lang w:bidi="ar-EG"/>
        </w:rPr>
        <w:br/>
      </w:r>
      <w:r w:rsidRPr="00B23AB1">
        <w:rPr>
          <w:sz w:val="32"/>
          <w:szCs w:val="32"/>
          <w:rtl/>
        </w:rPr>
        <w:lastRenderedPageBreak/>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B23AB1" w:rsidRPr="00B23AB1" w:rsidRDefault="00B23AB1" w:rsidP="00B23AB1">
      <w:pPr>
        <w:rPr>
          <w:sz w:val="32"/>
          <w:szCs w:val="32"/>
          <w:lang w:bidi="ar-EG"/>
        </w:rPr>
      </w:pPr>
      <w:bookmarkStart w:id="10" w:name="Anchor155"/>
      <w:bookmarkEnd w:id="10"/>
      <w:r w:rsidRPr="00B23AB1">
        <w:rPr>
          <w:b/>
          <w:bCs/>
          <w:sz w:val="32"/>
          <w:szCs w:val="32"/>
          <w:rtl/>
        </w:rPr>
        <w:t>المحكمة</w:t>
      </w:r>
    </w:p>
    <w:p w:rsidR="00B23AB1" w:rsidRPr="00B23AB1" w:rsidRDefault="00B23AB1" w:rsidP="00B23AB1">
      <w:pPr>
        <w:rPr>
          <w:sz w:val="32"/>
          <w:szCs w:val="32"/>
          <w:lang w:bidi="ar-EG"/>
        </w:rPr>
      </w:pPr>
      <w:bookmarkStart w:id="11" w:name="Anchor156"/>
      <w:bookmarkEnd w:id="11"/>
      <w:r w:rsidRPr="00B23AB1">
        <w:rPr>
          <w:sz w:val="32"/>
          <w:szCs w:val="32"/>
          <w:rtl/>
        </w:rPr>
        <w:t>بعد سماع المرافعة، والاطلاع على الأوراق، والمداولة</w:t>
      </w:r>
      <w:r w:rsidRPr="00B23AB1">
        <w:rPr>
          <w:sz w:val="32"/>
          <w:szCs w:val="32"/>
          <w:lang w:bidi="ar-EG"/>
        </w:rPr>
        <w:t>.</w:t>
      </w:r>
    </w:p>
    <w:p w:rsidR="00B23AB1" w:rsidRPr="00B23AB1" w:rsidRDefault="00B23AB1" w:rsidP="00B23AB1">
      <w:pPr>
        <w:rPr>
          <w:sz w:val="32"/>
          <w:szCs w:val="32"/>
          <w:lang w:bidi="ar-EG"/>
        </w:rPr>
      </w:pPr>
      <w:bookmarkStart w:id="12" w:name="Anchor162"/>
      <w:bookmarkEnd w:id="12"/>
      <w:r w:rsidRPr="00B23AB1">
        <w:rPr>
          <w:sz w:val="32"/>
          <w:szCs w:val="32"/>
          <w:rtl/>
        </w:rPr>
        <w:t>حيث إن الطعنين إستوفيا أوضاعهما الشكلية</w:t>
      </w:r>
      <w:r w:rsidRPr="00B23AB1">
        <w:rPr>
          <w:sz w:val="32"/>
          <w:szCs w:val="32"/>
          <w:lang w:bidi="ar-EG"/>
        </w:rPr>
        <w:t>.</w:t>
      </w:r>
    </w:p>
    <w:p w:rsidR="00B23AB1" w:rsidRPr="00B23AB1" w:rsidRDefault="00B23AB1" w:rsidP="00B23AB1">
      <w:pPr>
        <w:rPr>
          <w:sz w:val="32"/>
          <w:szCs w:val="32"/>
          <w:lang w:bidi="ar-EG"/>
        </w:rPr>
      </w:pPr>
      <w:bookmarkStart w:id="13" w:name="Anchor168"/>
      <w:bookmarkEnd w:id="13"/>
      <w:r w:rsidRPr="00B23AB1">
        <w:rPr>
          <w:sz w:val="32"/>
          <w:szCs w:val="32"/>
          <w:rtl/>
        </w:rPr>
        <w:t xml:space="preserve">وحيث إن الوقائع على ما يبين من الحكم المطعون فيه وسائر الأوراق تتحصل في أن الطاعنة في الطعن الثاني أقامت على المطعون ضدهما </w:t>
      </w:r>
      <w:r w:rsidRPr="00B23AB1">
        <w:rPr>
          <w:sz w:val="32"/>
          <w:szCs w:val="32"/>
          <w:lang w:bidi="ar-EG"/>
        </w:rPr>
        <w:t xml:space="preserve">- </w:t>
      </w:r>
      <w:r w:rsidRPr="00B23AB1">
        <w:rPr>
          <w:sz w:val="32"/>
          <w:szCs w:val="32"/>
          <w:rtl/>
        </w:rPr>
        <w:t xml:space="preserve">في ذات الطعن </w:t>
      </w:r>
      <w:r w:rsidRPr="00B23AB1">
        <w:rPr>
          <w:sz w:val="32"/>
          <w:szCs w:val="32"/>
          <w:lang w:bidi="ar-EG"/>
        </w:rPr>
        <w:t xml:space="preserve">- </w:t>
      </w:r>
      <w:r w:rsidRPr="00B23AB1">
        <w:rPr>
          <w:sz w:val="32"/>
          <w:szCs w:val="32"/>
          <w:rtl/>
        </w:rPr>
        <w:t xml:space="preserve">وآخر الدعوى رقم 6244 لسنة 2009 تجارى كلي، بطلب الحكم بندب خبير في الدعوي لبيان طبيعة العلاقة بين طرفي التداعي وقيمة الأعمال الأصلية والإضافية التي نفذتها الطاعنة، وتحديد التكلفة غير المباشرة، وفروق الأسعار الناتجة عن تأخر المطعون ضدها الأولي في سداد الدفعات المستحقة لها، وسبب إمتناعها عن السداد، وتصفية الحساب بينهما، وبيان الأضرار المادية والأدبية التي لحقت بالطاعنة جراء إخلال المطعون ضدها الأولي بالتزاماتها العقدية، وإلزام الأخيرة وآخر متضامنين بأن يؤديا لها ما يسفر عنه تقرير الخبرة، والفوائد القانونية بواقع </w:t>
      </w:r>
      <w:r w:rsidRPr="00B23AB1">
        <w:rPr>
          <w:sz w:val="32"/>
          <w:szCs w:val="32"/>
          <w:lang w:bidi="ar-EG"/>
        </w:rPr>
        <w:t>7</w:t>
      </w:r>
      <w:r w:rsidRPr="00B23AB1">
        <w:rPr>
          <w:rFonts w:ascii="Arial" w:hAnsi="Arial" w:cs="Arial"/>
          <w:sz w:val="32"/>
          <w:szCs w:val="32"/>
          <w:lang w:bidi="ar-EG"/>
        </w:rPr>
        <w:t>٪</w:t>
      </w:r>
      <w:r w:rsidRPr="00B23AB1">
        <w:rPr>
          <w:sz w:val="32"/>
          <w:szCs w:val="32"/>
          <w:lang w:bidi="ar-EG"/>
        </w:rPr>
        <w:t xml:space="preserve"> </w:t>
      </w:r>
      <w:r w:rsidRPr="00B23AB1">
        <w:rPr>
          <w:sz w:val="32"/>
          <w:szCs w:val="32"/>
          <w:rtl/>
        </w:rPr>
        <w:t xml:space="preserve">من تاريخ الاستحقاق وحتى تمام السداد، وقالت بياناً لذلك إنه بموجب عقد إتفاق مؤرخ </w:t>
      </w:r>
      <w:r w:rsidRPr="00B23AB1">
        <w:rPr>
          <w:sz w:val="32"/>
          <w:szCs w:val="32"/>
          <w:lang w:bidi="ar-EG"/>
        </w:rPr>
        <w:t>2007/11/6</w:t>
      </w:r>
      <w:r w:rsidRPr="00B23AB1">
        <w:rPr>
          <w:sz w:val="32"/>
          <w:szCs w:val="32"/>
          <w:rtl/>
        </w:rPr>
        <w:t xml:space="preserve">، أسندت إليها المطعون ضدها الأولي </w:t>
      </w:r>
      <w:r w:rsidRPr="00B23AB1">
        <w:rPr>
          <w:sz w:val="32"/>
          <w:szCs w:val="32"/>
          <w:lang w:bidi="ar-EG"/>
        </w:rPr>
        <w:t xml:space="preserve">- </w:t>
      </w:r>
      <w:r w:rsidRPr="00B23AB1">
        <w:rPr>
          <w:sz w:val="32"/>
          <w:szCs w:val="32"/>
          <w:rtl/>
        </w:rPr>
        <w:t xml:space="preserve">في الطعن الثاني </w:t>
      </w:r>
      <w:r w:rsidRPr="00B23AB1">
        <w:rPr>
          <w:sz w:val="32"/>
          <w:szCs w:val="32"/>
          <w:lang w:bidi="ar-EG"/>
        </w:rPr>
        <w:t xml:space="preserve">- </w:t>
      </w:r>
      <w:r w:rsidRPr="00B23AB1">
        <w:rPr>
          <w:sz w:val="32"/>
          <w:szCs w:val="32"/>
          <w:rtl/>
        </w:rPr>
        <w:t xml:space="preserve">وآخر </w:t>
      </w:r>
      <w:r w:rsidRPr="00B23AB1">
        <w:rPr>
          <w:sz w:val="32"/>
          <w:szCs w:val="32"/>
          <w:lang w:bidi="ar-EG"/>
        </w:rPr>
        <w:t xml:space="preserve">- </w:t>
      </w:r>
      <w:r w:rsidRPr="00B23AB1">
        <w:rPr>
          <w:sz w:val="32"/>
          <w:szCs w:val="32"/>
          <w:rtl/>
        </w:rPr>
        <w:t xml:space="preserve">إنشاء وصيانة مشروع برج الصقران التجاري، وقامت بتنفيذ جميع الأعمال من حفر وسند جوانب، وسحب مياه، وأعمال التدعيم، وخرسانة، وعازل الرطوبة ومباني، وتوريد جميع المعدات والعمالة، وأنجزت الأعمال الأصلية والاضافية وسلمتها للمطعون ضدها الأولي، إلا أن الأخيرة تأخرت في سداد الدفعات المستحقة لها ولم تصرفها لها رغم مطالبتها، مما أدي إلى زيادة أسعار حديد التسليح ومواد البناء، فضلاً عن إمتناعها عن سداد قيمة الأعمال الإضافية التي قامت بها، وما تكبدته من مصاريف إضافية للجهاز الفني والمعدات، وقيمة إستئجار التاور كرين، ومن ثم فقد أقامت الدعوي، ندبت المحكمة خبيراً، أودع تقريره، ثم أعادتها إلى الخبرة لبحث إعتراضات الطاعنة، وبعد أن أودع تقريره قضت بجلسة 2012/4/15، بالزام المطعون ضدها الأولي </w:t>
      </w:r>
      <w:r w:rsidRPr="00B23AB1">
        <w:rPr>
          <w:sz w:val="32"/>
          <w:szCs w:val="32"/>
          <w:lang w:bidi="ar-EG"/>
        </w:rPr>
        <w:t xml:space="preserve">- </w:t>
      </w:r>
      <w:r w:rsidRPr="00B23AB1">
        <w:rPr>
          <w:sz w:val="32"/>
          <w:szCs w:val="32"/>
          <w:rtl/>
        </w:rPr>
        <w:t xml:space="preserve">في الطعن الثاني </w:t>
      </w:r>
      <w:r w:rsidRPr="00B23AB1">
        <w:rPr>
          <w:sz w:val="32"/>
          <w:szCs w:val="32"/>
          <w:lang w:bidi="ar-EG"/>
        </w:rPr>
        <w:t xml:space="preserve">- </w:t>
      </w:r>
      <w:r w:rsidRPr="00B23AB1">
        <w:rPr>
          <w:sz w:val="32"/>
          <w:szCs w:val="32"/>
          <w:rtl/>
        </w:rPr>
        <w:t xml:space="preserve">وآخر متضامنين بأن يؤديا للطاعنة مبلغ </w:t>
      </w:r>
      <w:r w:rsidRPr="00B23AB1">
        <w:rPr>
          <w:sz w:val="32"/>
          <w:szCs w:val="32"/>
          <w:lang w:bidi="ar-EG"/>
        </w:rPr>
        <w:t xml:space="preserve">88345.628 </w:t>
      </w:r>
      <w:r w:rsidRPr="00B23AB1">
        <w:rPr>
          <w:sz w:val="32"/>
          <w:szCs w:val="32"/>
          <w:rtl/>
        </w:rPr>
        <w:t xml:space="preserve">د.ك و7٪ تعويض عن التأخير في السداد من تاريخ النطق بالحكم وحتى تاريخ السداد، إستأنفت الطاعنة </w:t>
      </w:r>
      <w:r w:rsidRPr="00B23AB1">
        <w:rPr>
          <w:sz w:val="32"/>
          <w:szCs w:val="32"/>
          <w:lang w:bidi="ar-EG"/>
        </w:rPr>
        <w:t xml:space="preserve">- </w:t>
      </w:r>
      <w:r w:rsidRPr="00B23AB1">
        <w:rPr>
          <w:sz w:val="32"/>
          <w:szCs w:val="32"/>
          <w:rtl/>
        </w:rPr>
        <w:t xml:space="preserve">في الطعن الثاني </w:t>
      </w:r>
      <w:r w:rsidRPr="00B23AB1">
        <w:rPr>
          <w:sz w:val="32"/>
          <w:szCs w:val="32"/>
          <w:lang w:bidi="ar-EG"/>
        </w:rPr>
        <w:t xml:space="preserve">- </w:t>
      </w:r>
      <w:r w:rsidRPr="00B23AB1">
        <w:rPr>
          <w:sz w:val="32"/>
          <w:szCs w:val="32"/>
          <w:rtl/>
        </w:rPr>
        <w:t xml:space="preserve">هذا الحكم بالاستئناف رقم 2686 لسنة 2012 تجارى، كما إستأنفته الطاعنة </w:t>
      </w:r>
      <w:r w:rsidRPr="00B23AB1">
        <w:rPr>
          <w:sz w:val="32"/>
          <w:szCs w:val="32"/>
          <w:lang w:bidi="ar-EG"/>
        </w:rPr>
        <w:t xml:space="preserve">- </w:t>
      </w:r>
      <w:r w:rsidRPr="00B23AB1">
        <w:rPr>
          <w:sz w:val="32"/>
          <w:szCs w:val="32"/>
          <w:rtl/>
        </w:rPr>
        <w:t xml:space="preserve">في الطعن الأول </w:t>
      </w:r>
      <w:r w:rsidRPr="00B23AB1">
        <w:rPr>
          <w:sz w:val="32"/>
          <w:szCs w:val="32"/>
          <w:lang w:bidi="ar-EG"/>
        </w:rPr>
        <w:t xml:space="preserve">- </w:t>
      </w:r>
      <w:r w:rsidRPr="00B23AB1">
        <w:rPr>
          <w:sz w:val="32"/>
          <w:szCs w:val="32"/>
          <w:rtl/>
        </w:rPr>
        <w:t xml:space="preserve">بالاستئناف رقم 2721 لسنة 2012 تجارى، ضمت المحكمة الاستئناف الثاني للأول، وبتاريخ </w:t>
      </w:r>
      <w:r w:rsidRPr="00B23AB1">
        <w:rPr>
          <w:sz w:val="32"/>
          <w:szCs w:val="32"/>
          <w:lang w:bidi="ar-EG"/>
        </w:rPr>
        <w:t xml:space="preserve">2012/12/19 </w:t>
      </w:r>
      <w:r w:rsidRPr="00B23AB1">
        <w:rPr>
          <w:sz w:val="32"/>
          <w:szCs w:val="32"/>
          <w:rtl/>
        </w:rPr>
        <w:t xml:space="preserve">حكمت المحكمة، في الاستئناف الأول بتعديل الحكم المستأنف فيما قضي به من إستحقاق الفوائد بجعلها من تاريخ الاستحقاق وحتى تمام السداد، وفى الاستئناف الثاني، بإلغاء الحكم المستأنف فيما قضي به من إلزام المستأنف الثاني </w:t>
      </w:r>
      <w:r w:rsidRPr="00B23AB1">
        <w:rPr>
          <w:sz w:val="32"/>
          <w:szCs w:val="32"/>
          <w:lang w:bidi="ar-EG"/>
        </w:rPr>
        <w:t xml:space="preserve">- </w:t>
      </w:r>
      <w:r w:rsidRPr="00B23AB1">
        <w:rPr>
          <w:sz w:val="32"/>
          <w:szCs w:val="32"/>
          <w:rtl/>
        </w:rPr>
        <w:t xml:space="preserve">بسام صقر عبد الهادي الصقران </w:t>
      </w:r>
      <w:r w:rsidRPr="00B23AB1">
        <w:rPr>
          <w:sz w:val="32"/>
          <w:szCs w:val="32"/>
          <w:lang w:bidi="ar-EG"/>
        </w:rPr>
        <w:t xml:space="preserve">- </w:t>
      </w:r>
      <w:r w:rsidRPr="00B23AB1">
        <w:rPr>
          <w:sz w:val="32"/>
          <w:szCs w:val="32"/>
          <w:rtl/>
        </w:rPr>
        <w:t>وعدم قبول الدعوي بالنسبة له والتأييد فيما عدا ذلك، طعنت شركة بيوع وأعمال للتجارة العامة والمقاولات في هذا الحكم بطريق التمييز، بالطعن رقم 71 لسنة 2012 تجارى، كما طعنت فيه شركة البحر الانشائية للتجارة والمقاولات بذات الطريق، بالطعن رقم 127 لسنة 2013 تجارى، وأودعت النيابة مذكرة أبدت فيها الرأي برفض الطعنين، وإذ عرضا على هذه المحكمة في غرفة المشورة، حددت لنظرهما جلسة، وفيها ضمت الطعن الثاني للأول، وإلتزمت النيابة رأيها</w:t>
      </w:r>
      <w:r w:rsidRPr="00B23AB1">
        <w:rPr>
          <w:sz w:val="32"/>
          <w:szCs w:val="32"/>
          <w:lang w:bidi="ar-EG"/>
        </w:rPr>
        <w:t>.</w:t>
      </w:r>
    </w:p>
    <w:p w:rsidR="00B23AB1" w:rsidRPr="00B23AB1" w:rsidRDefault="00B23AB1" w:rsidP="00B23AB1">
      <w:pPr>
        <w:rPr>
          <w:sz w:val="32"/>
          <w:szCs w:val="32"/>
          <w:lang w:bidi="ar-EG"/>
        </w:rPr>
      </w:pPr>
      <w:bookmarkStart w:id="14" w:name="Anchor441"/>
      <w:bookmarkEnd w:id="14"/>
      <w:r w:rsidRPr="00B23AB1">
        <w:rPr>
          <w:sz w:val="32"/>
          <w:szCs w:val="32"/>
          <w:rtl/>
        </w:rPr>
        <w:t xml:space="preserve">وحيث إن الطاعنة في الطعن 71 لسنة 2013 تجارى/1 تنعي بالوجه الأول من سبب الطعن على الحكم المطعون فيه القصور في التسبيب، والفساد في الاستدلال، ومخالفة الثابت بالأوراق، وفى بيان ذلك تقول إن الحكم قضي بالزامها بالفوائد القانونية بواقع </w:t>
      </w:r>
      <w:r w:rsidRPr="00B23AB1">
        <w:rPr>
          <w:sz w:val="32"/>
          <w:szCs w:val="32"/>
          <w:lang w:bidi="ar-EG"/>
        </w:rPr>
        <w:t>7</w:t>
      </w:r>
      <w:r w:rsidRPr="00B23AB1">
        <w:rPr>
          <w:rFonts w:ascii="Arial" w:hAnsi="Arial" w:cs="Arial"/>
          <w:sz w:val="32"/>
          <w:szCs w:val="32"/>
          <w:lang w:bidi="ar-EG"/>
        </w:rPr>
        <w:t>٪</w:t>
      </w:r>
      <w:r w:rsidRPr="00B23AB1">
        <w:rPr>
          <w:sz w:val="32"/>
          <w:szCs w:val="32"/>
          <w:lang w:bidi="ar-EG"/>
        </w:rPr>
        <w:t xml:space="preserve"> </w:t>
      </w:r>
      <w:r w:rsidRPr="00B23AB1">
        <w:rPr>
          <w:sz w:val="32"/>
          <w:szCs w:val="32"/>
          <w:rtl/>
        </w:rPr>
        <w:t xml:space="preserve">من تاريخ الاستحقاق وحتى السداد، على الرغم أن الدين محل التداعي غير معلوم المقدار ومتنازع فيه، بدلالة أن المطعون ضدها الأولي طلبت بصحيفة إفتتاح الدعوي ندب خبير لتصفية الحساب بينهما بما ينبئ عن عدم تحديد مستحقاتها، وأن طلبها في صحيفة إستئنافها إلزامها </w:t>
      </w:r>
      <w:r w:rsidRPr="00B23AB1">
        <w:rPr>
          <w:sz w:val="32"/>
          <w:szCs w:val="32"/>
          <w:lang w:bidi="ar-EG"/>
        </w:rPr>
        <w:t xml:space="preserve">- </w:t>
      </w:r>
      <w:r w:rsidRPr="00B23AB1">
        <w:rPr>
          <w:sz w:val="32"/>
          <w:szCs w:val="32"/>
          <w:rtl/>
        </w:rPr>
        <w:t xml:space="preserve">الطاعنة </w:t>
      </w:r>
      <w:r w:rsidRPr="00B23AB1">
        <w:rPr>
          <w:sz w:val="32"/>
          <w:szCs w:val="32"/>
          <w:lang w:bidi="ar-EG"/>
        </w:rPr>
        <w:t xml:space="preserve">- </w:t>
      </w:r>
      <w:r w:rsidRPr="00B23AB1">
        <w:rPr>
          <w:sz w:val="32"/>
          <w:szCs w:val="32"/>
          <w:rtl/>
        </w:rPr>
        <w:t>بما يسفر عنه تقرير الخبير يدل أيضاً على عدم تحديد المبلغ المطالب به، فضلاً عن أنها قررت أمام الخبرة بأن الأعمال التي نفدتها المطعون ضدها الأولي بعيدة عن الأصول الفنية المتعارف عليها، وهو ما يُعد دليلاً على أن الدفعة الختامية محل نزاع، مما لازمه إحتساب الفوائد من تاريخ الحكم النهائي، وإذ خالف الحكم المطعون فيه هذا النظر فإنه يكون معيباً بما يستوجب تمييزه</w:t>
      </w:r>
      <w:r w:rsidRPr="00B23AB1">
        <w:rPr>
          <w:sz w:val="32"/>
          <w:szCs w:val="32"/>
          <w:lang w:bidi="ar-EG"/>
        </w:rPr>
        <w:t>.</w:t>
      </w:r>
    </w:p>
    <w:p w:rsidR="00B23AB1" w:rsidRPr="00B23AB1" w:rsidRDefault="00B23AB1" w:rsidP="00B23AB1">
      <w:pPr>
        <w:rPr>
          <w:sz w:val="32"/>
          <w:szCs w:val="32"/>
          <w:lang w:bidi="ar-EG"/>
        </w:rPr>
      </w:pPr>
      <w:bookmarkStart w:id="15" w:name="Anchor524"/>
      <w:bookmarkEnd w:id="15"/>
      <w:r w:rsidRPr="00B23AB1">
        <w:rPr>
          <w:sz w:val="32"/>
          <w:szCs w:val="32"/>
          <w:rtl/>
        </w:rPr>
        <w:t xml:space="preserve">وحيث إن هذا النعي مردود، ذلك أن </w:t>
      </w:r>
      <w:bookmarkStart w:id="16" w:name="TM2014_71_1"/>
      <w:bookmarkEnd w:id="16"/>
      <w:r w:rsidRPr="00B23AB1">
        <w:rPr>
          <w:b/>
          <w:bCs/>
          <w:sz w:val="32"/>
          <w:szCs w:val="32"/>
          <w:rtl/>
        </w:rPr>
        <w:t xml:space="preserve">المقرر </w:t>
      </w:r>
      <w:r w:rsidRPr="00B23AB1">
        <w:rPr>
          <w:b/>
          <w:bCs/>
          <w:sz w:val="32"/>
          <w:szCs w:val="32"/>
          <w:lang w:bidi="ar-EG"/>
        </w:rPr>
        <w:t xml:space="preserve">- </w:t>
      </w:r>
      <w:r w:rsidRPr="00B23AB1">
        <w:rPr>
          <w:b/>
          <w:bCs/>
          <w:sz w:val="32"/>
          <w:szCs w:val="32"/>
          <w:rtl/>
        </w:rPr>
        <w:t xml:space="preserve">في قضاء هذه المحكمة </w:t>
      </w:r>
      <w:r w:rsidRPr="00B23AB1">
        <w:rPr>
          <w:b/>
          <w:bCs/>
          <w:sz w:val="32"/>
          <w:szCs w:val="32"/>
          <w:lang w:bidi="ar-EG"/>
        </w:rPr>
        <w:t xml:space="preserve">- </w:t>
      </w:r>
      <w:r w:rsidRPr="00B23AB1">
        <w:rPr>
          <w:b/>
          <w:bCs/>
          <w:sz w:val="32"/>
          <w:szCs w:val="32"/>
          <w:rtl/>
        </w:rPr>
        <w:t xml:space="preserve">أن مؤدي المادتين </w:t>
      </w:r>
      <w:r w:rsidRPr="00B23AB1">
        <w:rPr>
          <w:b/>
          <w:bCs/>
          <w:sz w:val="32"/>
          <w:szCs w:val="32"/>
          <w:lang w:bidi="ar-EG"/>
        </w:rPr>
        <w:t>110</w:t>
      </w:r>
      <w:r w:rsidRPr="00B23AB1">
        <w:rPr>
          <w:b/>
          <w:bCs/>
          <w:sz w:val="32"/>
          <w:szCs w:val="32"/>
          <w:rtl/>
        </w:rPr>
        <w:t xml:space="preserve">، </w:t>
      </w:r>
      <w:r w:rsidRPr="00B23AB1">
        <w:rPr>
          <w:b/>
          <w:bCs/>
          <w:sz w:val="32"/>
          <w:szCs w:val="32"/>
          <w:lang w:bidi="ar-EG"/>
        </w:rPr>
        <w:t xml:space="preserve">113 </w:t>
      </w:r>
      <w:r w:rsidRPr="00B23AB1">
        <w:rPr>
          <w:b/>
          <w:bCs/>
          <w:sz w:val="32"/>
          <w:szCs w:val="32"/>
          <w:rtl/>
        </w:rPr>
        <w:t>من قانون التجارة أن فوائد التأخير في الوفاء بالديون التجارية تستحق بحسب الأصل بمجرد إستحقاقها مادام أن محلها مبلغاً من النقود معلوم المقدار وقت نشوئه، فإن لم يكن كذلك سرت الفوائد من تاريخ الحكم النهائي،</w:t>
      </w:r>
    </w:p>
    <w:p w:rsidR="00B23AB1" w:rsidRPr="00B23AB1" w:rsidRDefault="00B23AB1" w:rsidP="00B23AB1">
      <w:pPr>
        <w:rPr>
          <w:sz w:val="32"/>
          <w:szCs w:val="32"/>
          <w:lang w:bidi="ar-EG"/>
        </w:rPr>
      </w:pPr>
      <w:bookmarkStart w:id="17" w:name="Anchor556"/>
      <w:bookmarkStart w:id="18" w:name="TM2014_71_2"/>
      <w:bookmarkEnd w:id="17"/>
      <w:bookmarkEnd w:id="18"/>
      <w:r w:rsidRPr="00B23AB1">
        <w:rPr>
          <w:b/>
          <w:bCs/>
          <w:sz w:val="32"/>
          <w:szCs w:val="32"/>
          <w:rtl/>
        </w:rPr>
        <w:t>والمقصود بكون محل الالتزام معلوم المقدار وقت نشوء الالتزام أن يكون تحديد مقداره مستنداً إلى أسس ثابتة باتفاق الطرفين لا يكون معها للقضاء سلطة رحبة في التقدير، ويكون كذلك ولو نازع المدين في مقداره إذ ليس من شأن هذه المنازعة إطلاق يد القضاء في التقدير بل تظل سلطته محدودة النطاق ومقصورة على حسم النزاع في حدود الأسس المتفق عليها،</w:t>
      </w:r>
      <w:r w:rsidRPr="00B23AB1">
        <w:rPr>
          <w:sz w:val="32"/>
          <w:szCs w:val="32"/>
          <w:rtl/>
        </w:rPr>
        <w:t xml:space="preserve"> لما كان ذلك </w:t>
      </w:r>
      <w:bookmarkStart w:id="19" w:name="TM2014_71_3"/>
      <w:bookmarkEnd w:id="19"/>
      <w:r w:rsidRPr="00B23AB1">
        <w:rPr>
          <w:b/>
          <w:bCs/>
          <w:sz w:val="32"/>
          <w:szCs w:val="32"/>
          <w:rtl/>
        </w:rPr>
        <w:t>وكان الحكم المطعون فيه قد الزم الطاعنة بالفوائد من تاريخ إستحقاق المبالغ المطالب بها إستناداً إلى أن العقد المبرم بين الطرفين حدد الأسس والقواعد التي تحتسب عليها مستحقات المطعون ضدها الأولي، بحسبان أن إلتزام الطاعنة يضحي معلوم المقدار، فإنه يكون قد طبق صحيح القانون، مما يضحي النعي عليه في هذا الصدد على غير أساس</w:t>
      </w:r>
      <w:r w:rsidRPr="00B23AB1">
        <w:rPr>
          <w:b/>
          <w:bCs/>
          <w:sz w:val="32"/>
          <w:szCs w:val="32"/>
          <w:lang w:bidi="ar-EG"/>
        </w:rPr>
        <w:t>.</w:t>
      </w:r>
    </w:p>
    <w:p w:rsidR="00B23AB1" w:rsidRPr="00B23AB1" w:rsidRDefault="00B23AB1" w:rsidP="00B23AB1">
      <w:pPr>
        <w:rPr>
          <w:sz w:val="32"/>
          <w:szCs w:val="32"/>
          <w:lang w:bidi="ar-EG"/>
        </w:rPr>
      </w:pPr>
      <w:bookmarkStart w:id="20" w:name="Anchor624"/>
      <w:bookmarkEnd w:id="20"/>
      <w:r w:rsidRPr="00B23AB1">
        <w:rPr>
          <w:sz w:val="32"/>
          <w:szCs w:val="32"/>
          <w:rtl/>
        </w:rPr>
        <w:t xml:space="preserve">وحيث إن الطاعنة في الطعن 71 لسنة 2013 تجارى/1، تنعي بالوجه الثاني من سبب الطعن على الحكم المطعون فيه بالقصور في التسبيب والفساد في الاستدلال وفى بيان ذلك تقول إنها تمسكت أمام محكمة الموضوع بأن الأعمال التي نفذتها المطعون ضدها الأولي مخالفة للأصول الفنية إلا أن الحكم عول على تقريري الخبرة رغم خلو أبحاثهما من تمحيص هذا الدفاع، كما تنعي الطاعنة في الطعن رقم 127 لسنة 2013 تجاري/1 بالوجه الثاني من السبب الأول، على الحكم المطعون فيه الفساد في الاستدلال، والقصور في التسبيب ومخالفة الثابت بالأوراق، وفى بيان ذلك تقول إنها تمسكت بأحقيتها في قيمة التكلفة غير المباشرة التي تكبدتها والتي تمثلت في فروق أسعار حديد التسليح بمبلغ 81933.650 د.ك والناشئة عن تأخر المطعون ضدها الأولي في سداد الدفعات المستحقة لها، وكذا تكاليف الجهاز الفني وإيجار المعدات بمبلغ 24324.67 د.ك، والتي تسببت فيها الأخيرة لتمديد العقد مدة 43 يوماً، وكذا أحقيتها في باقي إيجار التاوركرين بمبلغ </w:t>
      </w:r>
      <w:r w:rsidRPr="00B23AB1">
        <w:rPr>
          <w:sz w:val="32"/>
          <w:szCs w:val="32"/>
          <w:lang w:bidi="ar-EG"/>
        </w:rPr>
        <w:t xml:space="preserve">2083.333 </w:t>
      </w:r>
      <w:r w:rsidRPr="00B23AB1">
        <w:rPr>
          <w:sz w:val="32"/>
          <w:szCs w:val="32"/>
          <w:rtl/>
        </w:rPr>
        <w:t>د.ك، وفقا للبند السابع من عقد الاتفاق، وطبقا ً لكتابها المؤرخ 2009/6/25 الذي تسلمته المطعون ضدها الأولي دون تحفظ، إلا أن الحكم المطعون فيه عول على تقرير الخبرة رغم أنه لم يواجه دفاعها سالف البيان، ولم يبحث إعتراضاتها على ذلك التقرير، وإلتفت عن طلبها ندب لجنة من الخبراء أو إحالة الدعوي للتحقيق لاثبات أحقيتها في الطلبات سالف البيان، وهو ما يعيبه ويستوجب تمييزه</w:t>
      </w:r>
      <w:r w:rsidRPr="00B23AB1">
        <w:rPr>
          <w:sz w:val="32"/>
          <w:szCs w:val="32"/>
          <w:lang w:bidi="ar-EG"/>
        </w:rPr>
        <w:t>.</w:t>
      </w:r>
    </w:p>
    <w:p w:rsidR="00B23AB1" w:rsidRPr="00B23AB1" w:rsidRDefault="00B23AB1" w:rsidP="00B23AB1">
      <w:pPr>
        <w:rPr>
          <w:sz w:val="32"/>
          <w:szCs w:val="32"/>
          <w:lang w:bidi="ar-EG"/>
        </w:rPr>
      </w:pPr>
      <w:bookmarkStart w:id="21" w:name="Anchor736"/>
      <w:bookmarkEnd w:id="21"/>
      <w:r w:rsidRPr="00B23AB1">
        <w:rPr>
          <w:sz w:val="32"/>
          <w:szCs w:val="32"/>
          <w:rtl/>
        </w:rPr>
        <w:t xml:space="preserve">وحيث إن النعي بالوجه الثاني من سبب الطعن 71 لسنة 2013، والوجه الثاني من السبب الأول للطعن 127 لسنة 2013 تجارى، مردود، ذلك أن </w:t>
      </w:r>
      <w:bookmarkStart w:id="22" w:name="TM2014_71_4"/>
      <w:bookmarkEnd w:id="22"/>
      <w:r w:rsidRPr="00B23AB1">
        <w:rPr>
          <w:b/>
          <w:bCs/>
          <w:sz w:val="32"/>
          <w:szCs w:val="32"/>
          <w:rtl/>
        </w:rPr>
        <w:t xml:space="preserve">المقرر </w:t>
      </w:r>
      <w:r w:rsidRPr="00B23AB1">
        <w:rPr>
          <w:b/>
          <w:bCs/>
          <w:sz w:val="32"/>
          <w:szCs w:val="32"/>
          <w:lang w:bidi="ar-EG"/>
        </w:rPr>
        <w:t xml:space="preserve">- </w:t>
      </w:r>
      <w:r w:rsidRPr="00B23AB1">
        <w:rPr>
          <w:b/>
          <w:bCs/>
          <w:sz w:val="32"/>
          <w:szCs w:val="32"/>
          <w:rtl/>
        </w:rPr>
        <w:t xml:space="preserve">في قضاء هذه المحكمة </w:t>
      </w:r>
      <w:r w:rsidRPr="00B23AB1">
        <w:rPr>
          <w:b/>
          <w:bCs/>
          <w:sz w:val="32"/>
          <w:szCs w:val="32"/>
          <w:lang w:bidi="ar-EG"/>
        </w:rPr>
        <w:t xml:space="preserve">- </w:t>
      </w:r>
      <w:r w:rsidRPr="00B23AB1">
        <w:rPr>
          <w:b/>
          <w:bCs/>
          <w:sz w:val="32"/>
          <w:szCs w:val="32"/>
          <w:rtl/>
        </w:rPr>
        <w:t>أن لمحكمة الموضوع سلطة تحصيل وفهم الواقع في الدعوي وتقدير ما يقدم فيها من الأدلة والمستندات ولها في حدود سلطتها أن تاخذ بتقرير الخبير متي إطمأنت اليه وإقتنعت بالأسباب التي بني عليها، وهي لا تكون ملزمة من بعد بالرد استقلالاً على الطعون التي وجهت إلى هذا التقرير لأن في أخذها به محمولاً على أسبابه ما يفيد أنها لم تجد في تلك المطاعن ما يستحق الرد عليها بأكثر مما تضمنه التقرير،</w:t>
      </w:r>
      <w:r w:rsidRPr="00B23AB1">
        <w:rPr>
          <w:sz w:val="32"/>
          <w:szCs w:val="32"/>
          <w:rtl/>
        </w:rPr>
        <w:t xml:space="preserve"> لما كان ذلك وكان الحكم المطعون فيه قد خلص أخذاً أوراق الدعوي ومستنداتها ومن تقرير الخبير الذي إطمأن إليه وأخذ به محمولاً على أسبابه في أن الطاعنة في الطعن الثاني قامت بتنفيذ إلتزاماتها الواردة بعقد الاتفاق سند الدعوي وأن العقد المذكور خلا من إلتزام المطعون ضدها الأولي بفروق أسعار الحديد، وأن التأخير في سداد الدفعات قابله زيادة في مدة التنفيذ دون إحتساب غرامات تأخير، وأن إرادة الطرفين تلاقت على ذلك دون إتفاق على زيادة قيمة التعاقد، كما خلص إلى خلو الأوراق من سند للمطالبة بباقي إيجار التاوركرين، ورتب على ذلك قضاءه برفض مطالبات الطاعنة في الطعن الثاني، وهو من الحكم إستخلاص سائغ له معنيه من أوراق الدعوي وكان لحمل قضاء الحكم، ويؤدي إلى النتيجة التي إنتهي اليها، فإن النعي عليه في هذا الخصوص يضحي جدلاً فيما تستقل محكمة الموضوع بتقديره، مما لا يجوز إثارته لدي هذه المحكمة، ولا على الحكم إن إلتفت عن إعادة ندب خبير آخر أو إحالة الدعوي للتحقيق طالما وجد في أوراقها ما يكفى لتكوين عقيدته، ومن ثم يضحي النعي على غير أساس</w:t>
      </w:r>
      <w:r w:rsidRPr="00B23AB1">
        <w:rPr>
          <w:sz w:val="32"/>
          <w:szCs w:val="32"/>
          <w:lang w:bidi="ar-EG"/>
        </w:rPr>
        <w:t>.</w:t>
      </w:r>
    </w:p>
    <w:p w:rsidR="00B23AB1" w:rsidRPr="00B23AB1" w:rsidRDefault="00B23AB1" w:rsidP="00B23AB1">
      <w:pPr>
        <w:rPr>
          <w:sz w:val="32"/>
          <w:szCs w:val="32"/>
          <w:lang w:bidi="ar-EG"/>
        </w:rPr>
      </w:pPr>
      <w:bookmarkStart w:id="23" w:name="Anchor869"/>
      <w:bookmarkEnd w:id="23"/>
      <w:r w:rsidRPr="00B23AB1">
        <w:rPr>
          <w:sz w:val="32"/>
          <w:szCs w:val="32"/>
          <w:rtl/>
        </w:rPr>
        <w:t xml:space="preserve">ولما تقدم يتعين رفض الطعن رقم </w:t>
      </w:r>
      <w:r w:rsidRPr="00B23AB1">
        <w:rPr>
          <w:sz w:val="32"/>
          <w:szCs w:val="32"/>
          <w:lang w:bidi="ar-EG"/>
        </w:rPr>
        <w:t xml:space="preserve">71 </w:t>
      </w:r>
      <w:r w:rsidRPr="00B23AB1">
        <w:rPr>
          <w:sz w:val="32"/>
          <w:szCs w:val="32"/>
          <w:rtl/>
        </w:rPr>
        <w:t>لسنة 2013 تجارى/1</w:t>
      </w:r>
      <w:r w:rsidRPr="00B23AB1">
        <w:rPr>
          <w:sz w:val="32"/>
          <w:szCs w:val="32"/>
          <w:lang w:bidi="ar-EG"/>
        </w:rPr>
        <w:t>.</w:t>
      </w:r>
    </w:p>
    <w:p w:rsidR="00B23AB1" w:rsidRPr="00B23AB1" w:rsidRDefault="00B23AB1" w:rsidP="00B23AB1">
      <w:pPr>
        <w:rPr>
          <w:sz w:val="32"/>
          <w:szCs w:val="32"/>
          <w:lang w:bidi="ar-EG"/>
        </w:rPr>
      </w:pPr>
      <w:bookmarkStart w:id="24" w:name="Anchor874"/>
      <w:bookmarkEnd w:id="24"/>
      <w:r w:rsidRPr="00B23AB1">
        <w:rPr>
          <w:sz w:val="32"/>
          <w:szCs w:val="32"/>
          <w:rtl/>
        </w:rPr>
        <w:t xml:space="preserve">وحيث إن الطاعنة في الطعن 127 لسنة 2013 تجارى/1، تنعي بالسبب الثاني على الحكم المطعون فيه مخالفة القانون والخطأ في تطبيقه والقصور في التسبيب وفى بيان ذلك تقول إن الحكم قضي بالزام المطعون ضدها الأولي بمبلغ </w:t>
      </w:r>
      <w:r w:rsidRPr="00B23AB1">
        <w:rPr>
          <w:sz w:val="32"/>
          <w:szCs w:val="32"/>
          <w:lang w:bidi="ar-EG"/>
        </w:rPr>
        <w:t xml:space="preserve">200 </w:t>
      </w:r>
      <w:r w:rsidRPr="00B23AB1">
        <w:rPr>
          <w:sz w:val="32"/>
          <w:szCs w:val="32"/>
          <w:rtl/>
        </w:rPr>
        <w:t>د.ك أتعاب محاماة فعلية، وهو لا يتناسب مع موضوع الدعوي وما بذل فيها من جهد تمثل في إعداد الصحف بمراحل التقاضي المختلفة، وحضور الجلسات وتقديم المستندات والمذكرات ومباشرة إجراءات التنفيذ، وإذ قدر الأتعاب على نحو ما سبق فإنه يكون معيباً بما يستوجب تمييزه</w:t>
      </w:r>
      <w:r w:rsidRPr="00B23AB1">
        <w:rPr>
          <w:sz w:val="32"/>
          <w:szCs w:val="32"/>
          <w:lang w:bidi="ar-EG"/>
        </w:rPr>
        <w:t>.</w:t>
      </w:r>
    </w:p>
    <w:p w:rsidR="00B23AB1" w:rsidRPr="00B23AB1" w:rsidRDefault="00B23AB1" w:rsidP="00B23AB1">
      <w:pPr>
        <w:rPr>
          <w:sz w:val="32"/>
          <w:szCs w:val="32"/>
          <w:lang w:bidi="ar-EG"/>
        </w:rPr>
      </w:pPr>
      <w:bookmarkStart w:id="25" w:name="Anchor918"/>
      <w:bookmarkEnd w:id="25"/>
      <w:r w:rsidRPr="00B23AB1">
        <w:rPr>
          <w:sz w:val="32"/>
          <w:szCs w:val="32"/>
          <w:rtl/>
        </w:rPr>
        <w:t xml:space="preserve">وحيث إن هذا النعي غير مقبول، ذلك أن </w:t>
      </w:r>
      <w:bookmarkStart w:id="26" w:name="TM2014_71_5"/>
      <w:bookmarkEnd w:id="26"/>
      <w:r w:rsidRPr="00B23AB1">
        <w:rPr>
          <w:b/>
          <w:bCs/>
          <w:sz w:val="32"/>
          <w:szCs w:val="32"/>
          <w:rtl/>
        </w:rPr>
        <w:t xml:space="preserve">المقرر </w:t>
      </w:r>
      <w:r w:rsidRPr="00B23AB1">
        <w:rPr>
          <w:b/>
          <w:bCs/>
          <w:sz w:val="32"/>
          <w:szCs w:val="32"/>
          <w:lang w:bidi="ar-EG"/>
        </w:rPr>
        <w:t xml:space="preserve">- </w:t>
      </w:r>
      <w:r w:rsidRPr="00B23AB1">
        <w:rPr>
          <w:b/>
          <w:bCs/>
          <w:sz w:val="32"/>
          <w:szCs w:val="32"/>
          <w:rtl/>
        </w:rPr>
        <w:t xml:space="preserve">في قضاء هذه المحكمة </w:t>
      </w:r>
      <w:r w:rsidRPr="00B23AB1">
        <w:rPr>
          <w:b/>
          <w:bCs/>
          <w:sz w:val="32"/>
          <w:szCs w:val="32"/>
          <w:lang w:bidi="ar-EG"/>
        </w:rPr>
        <w:t xml:space="preserve">- </w:t>
      </w:r>
      <w:r w:rsidRPr="00B23AB1">
        <w:rPr>
          <w:b/>
          <w:bCs/>
          <w:sz w:val="32"/>
          <w:szCs w:val="32"/>
          <w:rtl/>
        </w:rPr>
        <w:t xml:space="preserve">أن مفاد نص المادة 119 مكرر من قانون المرافعات المضافة بالقانون رقم </w:t>
      </w:r>
      <w:r w:rsidRPr="00B23AB1">
        <w:rPr>
          <w:b/>
          <w:bCs/>
          <w:sz w:val="32"/>
          <w:szCs w:val="32"/>
          <w:lang w:bidi="ar-EG"/>
        </w:rPr>
        <w:t xml:space="preserve">36 </w:t>
      </w:r>
      <w:r w:rsidRPr="00B23AB1">
        <w:rPr>
          <w:b/>
          <w:bCs/>
          <w:sz w:val="32"/>
          <w:szCs w:val="32"/>
          <w:rtl/>
        </w:rPr>
        <w:t xml:space="preserve">لسنة 2002، أن مقدار أتعاب المحاماة الفعلية التي يقضي بها للمحكوم له بناء على طلبه يخضع تقديره لمحكمة الموضوع على أن تراعي في ذلك موضوع الدعوي ودرجة التقاضي المنظورة أمامها </w:t>
      </w:r>
      <w:r w:rsidRPr="00B23AB1">
        <w:rPr>
          <w:sz w:val="32"/>
          <w:szCs w:val="32"/>
          <w:rtl/>
        </w:rPr>
        <w:t>لما كان ذلك وكان الحكم المطعون فيه قد أيد الحكم الابتدائي فيما قضي به من الاتعاب الفعلية للمحاماة بمبلغ 200 د.ك مراعياً في ذلك موضوع الدعوي ودرجة التقاضي والجهد المبذول فيها، فإن النعي عليه في هذا الشأن يضحي جدلاً في السلطة التقديرية لمحكمة الموضوع، لا يجوز إثارته أمام هذه المحكمة، ومن ثم يضحي غير مقبول</w:t>
      </w:r>
      <w:r w:rsidRPr="00B23AB1">
        <w:rPr>
          <w:sz w:val="32"/>
          <w:szCs w:val="32"/>
          <w:lang w:bidi="ar-EG"/>
        </w:rPr>
        <w:t>.</w:t>
      </w:r>
    </w:p>
    <w:p w:rsidR="00B23AB1" w:rsidRPr="00B23AB1" w:rsidRDefault="00B23AB1" w:rsidP="00B23AB1">
      <w:pPr>
        <w:rPr>
          <w:sz w:val="32"/>
          <w:szCs w:val="32"/>
          <w:lang w:bidi="ar-EG"/>
        </w:rPr>
      </w:pPr>
      <w:bookmarkStart w:id="27" w:name="Anchor981"/>
      <w:bookmarkEnd w:id="27"/>
      <w:r w:rsidRPr="00B23AB1">
        <w:rPr>
          <w:sz w:val="32"/>
          <w:szCs w:val="32"/>
          <w:rtl/>
        </w:rPr>
        <w:t xml:space="preserve">وحيث إن الطاعنة في الطعن رقم 127 لسنة 2013 تجارى/1، تنعي بالوجه الأول من السبب الأول على الحكم المطعون فيه الفساد في الاستدلال ومخالفة الثابت بالأوراق، والقصور في التسبيب، وفى بيان ذلك تقول إن الحكم عول على تقرير الخبير في شأن عدم أحقيتها للأعمال الإضافية التي نفذتها والبالغ قيمتها 7877.500 د.ك على الرغم أن المطعون ضده الثاني أقر بمذكرته المقدمة أمام الخبرة بتاريخ 2011/11/15 بقيامها بتنفيذ الأعمال الإضافية محل محضر الاجتماع المؤرخ 2008/1/30 بالمبلغ المذكور، وثبت من ذلك المحضر إستعداد ممثل المطعون ضدها الأولي لدراسة التكلفة الاضافية لخرسانات الأساسات خارج حدود القسيمة، كما أن الكتابين الصادرين منها إلى المطعون ضدها الأولي المؤرخين 2008/10/30، </w:t>
      </w:r>
      <w:r w:rsidRPr="00B23AB1">
        <w:rPr>
          <w:sz w:val="32"/>
          <w:szCs w:val="32"/>
          <w:lang w:bidi="ar-EG"/>
        </w:rPr>
        <w:t xml:space="preserve">2009/5/12 </w:t>
      </w:r>
      <w:r w:rsidRPr="00B23AB1">
        <w:rPr>
          <w:sz w:val="32"/>
          <w:szCs w:val="32"/>
          <w:rtl/>
        </w:rPr>
        <w:t xml:space="preserve">بإخطارها بتنفيذ الأعمال الإضافية وفقاً لمحضر الاجتماع سالف الذكر ومطالبتها بقيمة تلك الأعمال قد تسلمها ممثل المذكورة دون تحفظ أو منازعة، وإلى أن كتاب المطعون ضده الثاني المؤرخ 2009/5/15 </w:t>
      </w:r>
      <w:r w:rsidRPr="00B23AB1">
        <w:rPr>
          <w:sz w:val="32"/>
          <w:szCs w:val="32"/>
          <w:lang w:bidi="ar-EG"/>
        </w:rPr>
        <w:t xml:space="preserve">– </w:t>
      </w:r>
      <w:r w:rsidRPr="00B23AB1">
        <w:rPr>
          <w:sz w:val="32"/>
          <w:szCs w:val="32"/>
          <w:rtl/>
        </w:rPr>
        <w:t>يستدل منه على قيامها بأعمال إضافية بعد أن علق الموافقة عليها إلى ممثل المالك أو مدير المشروع، وإذ أهدر الحكم المطعون فيه القرائن الدالة على تنفيذها تلك الأعمال فإنه يكون معيباً بما يستوجب تمييزه</w:t>
      </w:r>
      <w:r w:rsidRPr="00B23AB1">
        <w:rPr>
          <w:sz w:val="32"/>
          <w:szCs w:val="32"/>
          <w:lang w:bidi="ar-EG"/>
        </w:rPr>
        <w:t>.</w:t>
      </w:r>
    </w:p>
    <w:p w:rsidR="00B23AB1" w:rsidRPr="00B23AB1" w:rsidRDefault="00B23AB1" w:rsidP="00B23AB1">
      <w:pPr>
        <w:rPr>
          <w:sz w:val="32"/>
          <w:szCs w:val="32"/>
          <w:lang w:bidi="ar-EG"/>
        </w:rPr>
      </w:pPr>
      <w:bookmarkStart w:id="28" w:name="Anchor1078"/>
      <w:bookmarkEnd w:id="28"/>
      <w:r w:rsidRPr="00B23AB1">
        <w:rPr>
          <w:sz w:val="32"/>
          <w:szCs w:val="32"/>
          <w:rtl/>
        </w:rPr>
        <w:t xml:space="preserve">وحيث إن هذا النعي في محله، ذلك أن </w:t>
      </w:r>
      <w:bookmarkStart w:id="29" w:name="TM2014_71_6"/>
      <w:bookmarkEnd w:id="29"/>
      <w:r w:rsidRPr="00B23AB1">
        <w:rPr>
          <w:b/>
          <w:bCs/>
          <w:sz w:val="32"/>
          <w:szCs w:val="32"/>
          <w:rtl/>
        </w:rPr>
        <w:t xml:space="preserve">المقرر </w:t>
      </w:r>
      <w:r w:rsidRPr="00B23AB1">
        <w:rPr>
          <w:b/>
          <w:bCs/>
          <w:sz w:val="32"/>
          <w:szCs w:val="32"/>
          <w:lang w:bidi="ar-EG"/>
        </w:rPr>
        <w:t xml:space="preserve">- </w:t>
      </w:r>
      <w:r w:rsidRPr="00B23AB1">
        <w:rPr>
          <w:b/>
          <w:bCs/>
          <w:sz w:val="32"/>
          <w:szCs w:val="32"/>
          <w:rtl/>
        </w:rPr>
        <w:t xml:space="preserve">في قضاء هذه المحكمة </w:t>
      </w:r>
      <w:r w:rsidRPr="00B23AB1">
        <w:rPr>
          <w:b/>
          <w:bCs/>
          <w:sz w:val="32"/>
          <w:szCs w:val="32"/>
          <w:lang w:bidi="ar-EG"/>
        </w:rPr>
        <w:t xml:space="preserve">- </w:t>
      </w:r>
      <w:r w:rsidRPr="00B23AB1">
        <w:rPr>
          <w:b/>
          <w:bCs/>
          <w:sz w:val="32"/>
          <w:szCs w:val="32"/>
          <w:rtl/>
        </w:rPr>
        <w:t xml:space="preserve">أنه ولئن كان لمحكمة الموضوع </w:t>
      </w:r>
      <w:r w:rsidRPr="00B23AB1">
        <w:rPr>
          <w:b/>
          <w:bCs/>
          <w:sz w:val="32"/>
          <w:szCs w:val="32"/>
          <w:lang w:bidi="ar-EG"/>
        </w:rPr>
        <w:t xml:space="preserve">- </w:t>
      </w:r>
      <w:r w:rsidRPr="00B23AB1">
        <w:rPr>
          <w:b/>
          <w:bCs/>
          <w:sz w:val="32"/>
          <w:szCs w:val="32"/>
          <w:rtl/>
        </w:rPr>
        <w:t xml:space="preserve">في سبيل تكوين عقيدتها </w:t>
      </w:r>
      <w:r w:rsidRPr="00B23AB1">
        <w:rPr>
          <w:b/>
          <w:bCs/>
          <w:sz w:val="32"/>
          <w:szCs w:val="32"/>
          <w:lang w:bidi="ar-EG"/>
        </w:rPr>
        <w:t xml:space="preserve">– </w:t>
      </w:r>
      <w:r w:rsidRPr="00B23AB1">
        <w:rPr>
          <w:b/>
          <w:bCs/>
          <w:sz w:val="32"/>
          <w:szCs w:val="32"/>
          <w:rtl/>
        </w:rPr>
        <w:t xml:space="preserve">أن تأخذ بتقرير الخبير المقدم في الدعوى باعتباره عنصراً من عناصر الاثبات فيها إلا أن شرط ذلك أن يكون التقرير قد إستوي على أسباب سائغة لها معينها الصحيح من الأوراق وتصلح رداً على ما أثاره الخصم من دفاع أما حيث تكون النتيجة التي خلص إليها والتي أخذت بها المحكمة مجرد إستنتاج أو كانت على غير أساس سليم من الأوراق، فإن حكمها يكون مشوباً بالقصور، </w:t>
      </w:r>
      <w:r w:rsidRPr="00B23AB1">
        <w:rPr>
          <w:sz w:val="32"/>
          <w:szCs w:val="32"/>
          <w:rtl/>
        </w:rPr>
        <w:t xml:space="preserve">لما كان ذلك </w:t>
      </w:r>
      <w:bookmarkStart w:id="30" w:name="TM2014_71_7"/>
      <w:bookmarkEnd w:id="30"/>
      <w:r w:rsidRPr="00B23AB1">
        <w:rPr>
          <w:b/>
          <w:bCs/>
          <w:sz w:val="32"/>
          <w:szCs w:val="32"/>
          <w:rtl/>
        </w:rPr>
        <w:t>وكانت الطاعنة قد تمسكت أمام محكمة الموضوع بدرجيتها بأحقيتها في قيمة الأعمال الاضافية التي نفذتها وقيمتها 7877.500 د.ك وكانت محكمة أول درجة قد ندبت خبيراً في الدعوي ذهب إلى أن الطاعنة لم تقدم ما يفيد تكلفة المطعون ضدها الأولي لها بتنفيذ تلك الأعمال أو الموافقة عليها أو إعتمادها من المالك أو الاستشاري، وإذ كان ما تقدم وكان الحكم المطعون فيه قد عول على تقرير الخبير رغم أنه لا يواجه الدلالة المستمدة من القرائن التي ساقتها الطاعنة لاثبات قيامها بتنفيذ تلك الأعمال، وهو ما يعيبه بالقصور في التسبيب والفساد في الاستدلال، بما يوجب تمييزه جزئياً في هذا الشق</w:t>
      </w:r>
      <w:r w:rsidRPr="00B23AB1">
        <w:rPr>
          <w:b/>
          <w:bCs/>
          <w:sz w:val="32"/>
          <w:szCs w:val="32"/>
          <w:lang w:bidi="ar-EG"/>
        </w:rPr>
        <w:t>.</w:t>
      </w:r>
    </w:p>
    <w:p w:rsidR="00B23AB1" w:rsidRPr="00B23AB1" w:rsidRDefault="00B23AB1" w:rsidP="00B23AB1">
      <w:pPr>
        <w:rPr>
          <w:sz w:val="32"/>
          <w:szCs w:val="32"/>
          <w:lang w:bidi="ar-EG"/>
        </w:rPr>
      </w:pPr>
      <w:bookmarkStart w:id="31" w:name="Anchor1184"/>
      <w:bookmarkEnd w:id="31"/>
      <w:r w:rsidRPr="00B23AB1">
        <w:rPr>
          <w:sz w:val="32"/>
          <w:szCs w:val="32"/>
          <w:rtl/>
        </w:rPr>
        <w:t xml:space="preserve">وحيث إنه عن موضوع الاستئناف رقم 2686 لسنة 2012 تجارى/9 ولما تقدم وكان الثابت بمحضر الاجتماع المؤرخ 2008/1/30، إقرار ممثل المستأنف ضدها الأولي إستعداده لدراسة التكلفة الاضافية نتيجة إمتداد خرسانات الأساسات خارج حدود القسيمة، وثبت بمذكرة المستأنف ضده الثالث المقدمة أمام الخبرة بتاريخ </w:t>
      </w:r>
      <w:r w:rsidRPr="00B23AB1">
        <w:rPr>
          <w:sz w:val="32"/>
          <w:szCs w:val="32"/>
          <w:lang w:bidi="ar-EG"/>
        </w:rPr>
        <w:t xml:space="preserve">2011/11/15 - </w:t>
      </w:r>
      <w:r w:rsidRPr="00B23AB1">
        <w:rPr>
          <w:sz w:val="32"/>
          <w:szCs w:val="32"/>
          <w:rtl/>
        </w:rPr>
        <w:t xml:space="preserve">إقراره بتنفيذ المستأنفة للأعمال الإضافية المشار إليها بالمستندات المقدمة منها بجلسة 2011/5/22، والمبينة بمحضر الاجتماع المؤرخ 2008/1/30 وقد أحال في تقديرها إلى الخبير المنتدب في الدعوي، كما ثبت بكتابي المستأنفة إلى المستأنف ضدها الأولي بتاريخي 2008/10/30، </w:t>
      </w:r>
      <w:r w:rsidRPr="00B23AB1">
        <w:rPr>
          <w:sz w:val="32"/>
          <w:szCs w:val="32"/>
          <w:lang w:bidi="ar-EG"/>
        </w:rPr>
        <w:t>2009/5/12</w:t>
      </w:r>
      <w:r w:rsidRPr="00B23AB1">
        <w:rPr>
          <w:sz w:val="32"/>
          <w:szCs w:val="32"/>
          <w:rtl/>
        </w:rPr>
        <w:t xml:space="preserve">، والذي تضمن الأول إخطارها بتنفيذ الأعمال الإضافية وقيمتها، وتضمن الثاني مطالبتها بتلك القيمة، أن الأخيرة </w:t>
      </w:r>
      <w:r w:rsidRPr="00B23AB1">
        <w:rPr>
          <w:sz w:val="32"/>
          <w:szCs w:val="32"/>
          <w:lang w:bidi="ar-EG"/>
        </w:rPr>
        <w:t xml:space="preserve">- </w:t>
      </w:r>
      <w:r w:rsidRPr="00B23AB1">
        <w:rPr>
          <w:sz w:val="32"/>
          <w:szCs w:val="32"/>
          <w:rtl/>
        </w:rPr>
        <w:t xml:space="preserve">المستأنف ضدها الأولي </w:t>
      </w:r>
      <w:r w:rsidRPr="00B23AB1">
        <w:rPr>
          <w:sz w:val="32"/>
          <w:szCs w:val="32"/>
          <w:lang w:bidi="ar-EG"/>
        </w:rPr>
        <w:t xml:space="preserve">- </w:t>
      </w:r>
      <w:r w:rsidRPr="00B23AB1">
        <w:rPr>
          <w:sz w:val="32"/>
          <w:szCs w:val="32"/>
          <w:rtl/>
        </w:rPr>
        <w:t xml:space="preserve">قد تسلمت الكتابين المذكورين دون تحفظ منها أو منازعة فيهما، وإذ كان النص في المادة 44 من القانون المدني على أن </w:t>
      </w:r>
      <w:r w:rsidRPr="00B23AB1">
        <w:rPr>
          <w:sz w:val="32"/>
          <w:szCs w:val="32"/>
          <w:lang w:bidi="ar-EG"/>
        </w:rPr>
        <w:t xml:space="preserve">(1- </w:t>
      </w:r>
      <w:r w:rsidRPr="00B23AB1">
        <w:rPr>
          <w:sz w:val="32"/>
          <w:szCs w:val="32"/>
          <w:rtl/>
        </w:rPr>
        <w:t>لا ينسب لساكت قول ولكن السكوت في معرض الحاجة إلى البيان يعتبر قبولاً</w:t>
      </w:r>
      <w:r w:rsidRPr="00B23AB1">
        <w:rPr>
          <w:sz w:val="32"/>
          <w:szCs w:val="32"/>
          <w:lang w:bidi="ar-EG"/>
        </w:rPr>
        <w:t>)</w:t>
      </w:r>
      <w:r w:rsidRPr="00B23AB1">
        <w:rPr>
          <w:sz w:val="32"/>
          <w:szCs w:val="32"/>
          <w:rtl/>
        </w:rPr>
        <w:t>، ومن ثم فإن المحكمة تستدل من الكتابين المشار إليهما أن المستأنف ضدها الأولي علمت بالأعمال الاضافية ووافقت عليها ولم تبد ثمة إعتراضات أو تحفظات بشأنها، ويظاهر ذلك أيضاً ما ثبت بكتاب المستأنف ضده الثاني المؤرخ 2009/5/15 من أن المستأنفة طلبت قيمة أعمال إضافية أحال في إعتمادها إلى ممثل المستأنف ضدها الأولي ومدير المشروع بما تطمئن معه المحكمة إلى قيام المستأنفة بتنفيذ الأعمال الإضافية بالقيمة المطالب بها</w:t>
      </w:r>
      <w:r w:rsidRPr="00B23AB1">
        <w:rPr>
          <w:sz w:val="32"/>
          <w:szCs w:val="32"/>
          <w:lang w:bidi="ar-EG"/>
        </w:rPr>
        <w:t xml:space="preserve">. </w:t>
      </w:r>
      <w:r w:rsidRPr="00B23AB1">
        <w:rPr>
          <w:sz w:val="32"/>
          <w:szCs w:val="32"/>
          <w:rtl/>
        </w:rPr>
        <w:t>وإذ خالف الحكم المستأنف هذا النظر، فإنه يتعين تعديله إلى إلزام المستأنف ضدها الأولى بأن تؤدي إلى المستأنفة قيمة الأعمال الإضافية البالغ مقدارها 7877.500 د.ك</w:t>
      </w:r>
      <w:r w:rsidRPr="00B23AB1">
        <w:rPr>
          <w:sz w:val="32"/>
          <w:szCs w:val="32"/>
          <w:lang w:bidi="ar-EG"/>
        </w:rPr>
        <w:t xml:space="preserve">. </w:t>
      </w:r>
      <w:r w:rsidRPr="00B23AB1">
        <w:rPr>
          <w:sz w:val="32"/>
          <w:szCs w:val="32"/>
          <w:rtl/>
        </w:rPr>
        <w:t>ليكون جملة المقضي به للمستأنفة مبلغ 96223.125 د.ك (ستة وتسعين ألف ومائتين وثلاثة وعشرين ديناراً، ومائة وخمسة وعشرين فلسا</w:t>
      </w:r>
      <w:r w:rsidRPr="00B23AB1">
        <w:rPr>
          <w:sz w:val="32"/>
          <w:szCs w:val="32"/>
          <w:lang w:bidi="ar-EG"/>
        </w:rPr>
        <w:t>).</w:t>
      </w:r>
    </w:p>
    <w:p w:rsidR="00B23AB1" w:rsidRPr="00B23AB1" w:rsidRDefault="00B23AB1" w:rsidP="00B23AB1">
      <w:pPr>
        <w:rPr>
          <w:sz w:val="32"/>
          <w:szCs w:val="32"/>
          <w:lang w:bidi="ar-EG"/>
        </w:rPr>
      </w:pPr>
      <w:bookmarkStart w:id="32" w:name="Anchor1341"/>
      <w:bookmarkEnd w:id="32"/>
      <w:r w:rsidRPr="00B23AB1">
        <w:rPr>
          <w:b/>
          <w:bCs/>
          <w:sz w:val="32"/>
          <w:szCs w:val="32"/>
          <w:rtl/>
        </w:rPr>
        <w:t>لذلك</w:t>
      </w:r>
    </w:p>
    <w:p w:rsidR="00B23AB1" w:rsidRPr="00B23AB1" w:rsidRDefault="00B23AB1" w:rsidP="00B23AB1">
      <w:pPr>
        <w:rPr>
          <w:sz w:val="32"/>
          <w:szCs w:val="32"/>
          <w:lang w:bidi="ar-EG"/>
        </w:rPr>
      </w:pPr>
      <w:bookmarkStart w:id="33" w:name="Anchor1342"/>
      <w:bookmarkEnd w:id="33"/>
      <w:r w:rsidRPr="00B23AB1">
        <w:rPr>
          <w:b/>
          <w:bCs/>
          <w:sz w:val="32"/>
          <w:szCs w:val="32"/>
          <w:rtl/>
        </w:rPr>
        <w:t>حكمت المحكمة</w:t>
      </w:r>
    </w:p>
    <w:p w:rsidR="00B23AB1" w:rsidRPr="00B23AB1" w:rsidRDefault="00B23AB1" w:rsidP="00B23AB1">
      <w:pPr>
        <w:rPr>
          <w:sz w:val="32"/>
          <w:szCs w:val="32"/>
          <w:lang w:bidi="ar-EG"/>
        </w:rPr>
      </w:pPr>
      <w:bookmarkStart w:id="34" w:name="Anchor1344"/>
      <w:bookmarkEnd w:id="34"/>
      <w:r w:rsidRPr="00B23AB1">
        <w:rPr>
          <w:b/>
          <w:bCs/>
          <w:sz w:val="32"/>
          <w:szCs w:val="32"/>
          <w:rtl/>
        </w:rPr>
        <w:t>أولاً</w:t>
      </w:r>
      <w:r w:rsidRPr="00B23AB1">
        <w:rPr>
          <w:b/>
          <w:bCs/>
          <w:sz w:val="32"/>
          <w:szCs w:val="32"/>
          <w:lang w:bidi="ar-EG"/>
        </w:rPr>
        <w:t xml:space="preserve">: </w:t>
      </w:r>
      <w:r w:rsidRPr="00B23AB1">
        <w:rPr>
          <w:sz w:val="32"/>
          <w:szCs w:val="32"/>
          <w:rtl/>
        </w:rPr>
        <w:t>بقبول الطعنين شكلاً</w:t>
      </w:r>
      <w:r w:rsidRPr="00B23AB1">
        <w:rPr>
          <w:sz w:val="32"/>
          <w:szCs w:val="32"/>
          <w:lang w:bidi="ar-EG"/>
        </w:rPr>
        <w:t>.</w:t>
      </w:r>
    </w:p>
    <w:p w:rsidR="00B23AB1" w:rsidRPr="00B23AB1" w:rsidRDefault="00B23AB1" w:rsidP="00B23AB1">
      <w:pPr>
        <w:rPr>
          <w:sz w:val="32"/>
          <w:szCs w:val="32"/>
          <w:lang w:bidi="ar-EG"/>
        </w:rPr>
      </w:pPr>
      <w:bookmarkStart w:id="35" w:name="Anchor1348"/>
      <w:bookmarkEnd w:id="35"/>
      <w:r w:rsidRPr="00B23AB1">
        <w:rPr>
          <w:b/>
          <w:bCs/>
          <w:sz w:val="32"/>
          <w:szCs w:val="32"/>
          <w:rtl/>
        </w:rPr>
        <w:t>ثانيا</w:t>
      </w:r>
      <w:r w:rsidRPr="00B23AB1">
        <w:rPr>
          <w:b/>
          <w:bCs/>
          <w:sz w:val="32"/>
          <w:szCs w:val="32"/>
          <w:lang w:bidi="ar-EG"/>
        </w:rPr>
        <w:t>-</w:t>
      </w:r>
      <w:r w:rsidRPr="00B23AB1">
        <w:rPr>
          <w:sz w:val="32"/>
          <w:szCs w:val="32"/>
          <w:lang w:bidi="ar-EG"/>
        </w:rPr>
        <w:t xml:space="preserve"> </w:t>
      </w:r>
      <w:r w:rsidRPr="00B23AB1">
        <w:rPr>
          <w:sz w:val="32"/>
          <w:szCs w:val="32"/>
          <w:rtl/>
        </w:rPr>
        <w:t>في الطعن رقم 71 لسنة 2013 تجارى/1، برفضه، وألزمت الطاعنة المصروفات، وعشرين ديناراً مقابل أتعاب المحاماة، مع مصادرة الكفالة</w:t>
      </w:r>
      <w:r w:rsidRPr="00B23AB1">
        <w:rPr>
          <w:sz w:val="32"/>
          <w:szCs w:val="32"/>
          <w:lang w:bidi="ar-EG"/>
        </w:rPr>
        <w:t xml:space="preserve"> .</w:t>
      </w:r>
    </w:p>
    <w:p w:rsidR="00B23AB1" w:rsidRPr="00B23AB1" w:rsidRDefault="00B23AB1" w:rsidP="00B23AB1">
      <w:pPr>
        <w:rPr>
          <w:sz w:val="32"/>
          <w:szCs w:val="32"/>
          <w:lang w:bidi="ar-EG"/>
        </w:rPr>
      </w:pPr>
      <w:bookmarkStart w:id="36" w:name="Anchor1363"/>
      <w:bookmarkEnd w:id="36"/>
      <w:r w:rsidRPr="00B23AB1">
        <w:rPr>
          <w:b/>
          <w:bCs/>
          <w:sz w:val="32"/>
          <w:szCs w:val="32"/>
          <w:rtl/>
        </w:rPr>
        <w:t>ثالثا</w:t>
      </w:r>
      <w:r w:rsidRPr="00B23AB1">
        <w:rPr>
          <w:b/>
          <w:bCs/>
          <w:sz w:val="32"/>
          <w:szCs w:val="32"/>
          <w:lang w:bidi="ar-EG"/>
        </w:rPr>
        <w:t>-</w:t>
      </w:r>
      <w:r w:rsidRPr="00B23AB1">
        <w:rPr>
          <w:sz w:val="32"/>
          <w:szCs w:val="32"/>
          <w:lang w:bidi="ar-EG"/>
        </w:rPr>
        <w:t xml:space="preserve"> </w:t>
      </w:r>
      <w:r w:rsidRPr="00B23AB1">
        <w:rPr>
          <w:sz w:val="32"/>
          <w:szCs w:val="32"/>
          <w:rtl/>
        </w:rPr>
        <w:t>في الطعن رقم 127 لسنة 2013 تجارى/1، بتمييز الحكم المطعون فيه تمييزاً جزئياً على النحو المبين بالأسباب، وألزمت المطعون ضدها الأولي المصروفات وعشرين ديناراً مقابل أتعاب المحاماة</w:t>
      </w:r>
      <w:r w:rsidRPr="00B23AB1">
        <w:rPr>
          <w:sz w:val="32"/>
          <w:szCs w:val="32"/>
          <w:lang w:bidi="ar-EG"/>
        </w:rPr>
        <w:t>.</w:t>
      </w:r>
    </w:p>
    <w:p w:rsidR="00B23AB1" w:rsidRPr="00B23AB1" w:rsidRDefault="00B23AB1" w:rsidP="00B23AB1">
      <w:pPr>
        <w:rPr>
          <w:sz w:val="32"/>
          <w:szCs w:val="32"/>
          <w:lang w:bidi="ar-EG"/>
        </w:rPr>
      </w:pPr>
      <w:bookmarkStart w:id="37" w:name="Anchor1380"/>
      <w:bookmarkEnd w:id="37"/>
      <w:r w:rsidRPr="00B23AB1">
        <w:rPr>
          <w:b/>
          <w:bCs/>
          <w:sz w:val="32"/>
          <w:szCs w:val="32"/>
          <w:rtl/>
        </w:rPr>
        <w:t>رابعا</w:t>
      </w:r>
      <w:r w:rsidRPr="00B23AB1">
        <w:rPr>
          <w:b/>
          <w:bCs/>
          <w:sz w:val="32"/>
          <w:szCs w:val="32"/>
          <w:lang w:bidi="ar-EG"/>
        </w:rPr>
        <w:t>-</w:t>
      </w:r>
      <w:r w:rsidRPr="00B23AB1">
        <w:rPr>
          <w:sz w:val="32"/>
          <w:szCs w:val="32"/>
          <w:lang w:bidi="ar-EG"/>
        </w:rPr>
        <w:t xml:space="preserve"> </w:t>
      </w:r>
      <w:r w:rsidRPr="00B23AB1">
        <w:rPr>
          <w:sz w:val="32"/>
          <w:szCs w:val="32"/>
          <w:rtl/>
        </w:rPr>
        <w:t xml:space="preserve">في الاستئناف رقم 2686 لسنة </w:t>
      </w:r>
      <w:r w:rsidRPr="00B23AB1">
        <w:rPr>
          <w:sz w:val="32"/>
          <w:szCs w:val="32"/>
          <w:lang w:bidi="ar-EG"/>
        </w:rPr>
        <w:t xml:space="preserve">2012 </w:t>
      </w:r>
      <w:r w:rsidRPr="00B23AB1">
        <w:rPr>
          <w:sz w:val="32"/>
          <w:szCs w:val="32"/>
          <w:rtl/>
        </w:rPr>
        <w:t>تجارى/9، بتعديل الحكم المستأنف إلى إلزام المستأنف ضدها الأولي بأن تؤدي إلى المستأنفة مبلغ 96223.125 د.ك (ستة وتسعين ألفاً ومائتين وثلاثة وعشرين ديناراً، ومائة وخمسة وعشرين فلساً</w:t>
      </w:r>
      <w:r w:rsidRPr="00B23AB1">
        <w:rPr>
          <w:sz w:val="32"/>
          <w:szCs w:val="32"/>
          <w:lang w:bidi="ar-EG"/>
        </w:rPr>
        <w:t xml:space="preserve">) </w:t>
      </w:r>
      <w:r w:rsidRPr="00B23AB1">
        <w:rPr>
          <w:sz w:val="32"/>
          <w:szCs w:val="32"/>
          <w:rtl/>
        </w:rPr>
        <w:t>والمصروفات، وعشرة دنانير مقابل أتعاب المحاماة</w:t>
      </w:r>
      <w:r w:rsidRPr="00B23AB1">
        <w:rPr>
          <w:sz w:val="32"/>
          <w:szCs w:val="32"/>
          <w:lang w:bidi="ar-EG"/>
        </w:rPr>
        <w:t>.</w:t>
      </w:r>
    </w:p>
    <w:p w:rsidR="00B23AB1" w:rsidRPr="00B23AB1" w:rsidRDefault="00B23AB1" w:rsidP="00B23AB1">
      <w:pPr>
        <w:rPr>
          <w:sz w:val="32"/>
          <w:szCs w:val="32"/>
          <w:lang w:bidi="ar-EG"/>
        </w:rPr>
      </w:pPr>
    </w:p>
    <w:p w:rsidR="00B23AB1" w:rsidRPr="00B23AB1" w:rsidRDefault="00B23AB1" w:rsidP="00B23AB1">
      <w:pPr>
        <w:rPr>
          <w:sz w:val="32"/>
          <w:szCs w:val="32"/>
          <w:lang w:bidi="ar-EG"/>
        </w:rPr>
      </w:pPr>
      <w:bookmarkStart w:id="38" w:name="Anchor1404"/>
      <w:bookmarkEnd w:id="38"/>
      <w:r w:rsidRPr="00B23AB1">
        <w:rPr>
          <w:sz w:val="32"/>
          <w:szCs w:val="32"/>
          <w:lang w:bidi="ar-EG"/>
        </w:rPr>
        <w:t>* * *</w:t>
      </w:r>
    </w:p>
    <w:p w:rsidR="008C2BA0" w:rsidRPr="00B23AB1" w:rsidRDefault="008C2BA0">
      <w:pPr>
        <w:rPr>
          <w:rFonts w:hint="cs"/>
          <w:sz w:val="32"/>
          <w:szCs w:val="32"/>
          <w:lang w:bidi="ar-EG"/>
        </w:rPr>
      </w:pPr>
    </w:p>
    <w:sectPr w:rsidR="008C2BA0" w:rsidRPr="00B23AB1"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390"/>
    <w:rsid w:val="0003272B"/>
    <w:rsid w:val="00585390"/>
    <w:rsid w:val="008C2BA0"/>
    <w:rsid w:val="00B23A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B23AB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3AB1"/>
    <w:rPr>
      <w:color w:val="0000FF"/>
      <w:u w:val="single"/>
    </w:rPr>
  </w:style>
  <w:style w:type="character" w:styleId="FollowedHyperlink">
    <w:name w:val="FollowedHyperlink"/>
    <w:basedOn w:val="DefaultParagraphFont"/>
    <w:uiPriority w:val="99"/>
    <w:semiHidden/>
    <w:unhideWhenUsed/>
    <w:rsid w:val="00B23AB1"/>
    <w:rPr>
      <w:color w:val="800080"/>
      <w:u w:val="single"/>
    </w:rPr>
  </w:style>
  <w:style w:type="paragraph" w:styleId="NormalWeb">
    <w:name w:val="Normal (Web)"/>
    <w:basedOn w:val="Normal"/>
    <w:uiPriority w:val="99"/>
    <w:semiHidden/>
    <w:unhideWhenUsed/>
    <w:rsid w:val="00B23AB1"/>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B23AB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3AB1"/>
    <w:rPr>
      <w:color w:val="0000FF"/>
      <w:u w:val="single"/>
    </w:rPr>
  </w:style>
  <w:style w:type="character" w:styleId="FollowedHyperlink">
    <w:name w:val="FollowedHyperlink"/>
    <w:basedOn w:val="DefaultParagraphFont"/>
    <w:uiPriority w:val="99"/>
    <w:semiHidden/>
    <w:unhideWhenUsed/>
    <w:rsid w:val="00B23AB1"/>
    <w:rPr>
      <w:color w:val="800080"/>
      <w:u w:val="single"/>
    </w:rPr>
  </w:style>
  <w:style w:type="paragraph" w:styleId="NormalWeb">
    <w:name w:val="Normal (Web)"/>
    <w:basedOn w:val="Normal"/>
    <w:uiPriority w:val="99"/>
    <w:semiHidden/>
    <w:unhideWhenUsed/>
    <w:rsid w:val="00B23AB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19832">
      <w:bodyDiv w:val="1"/>
      <w:marLeft w:val="0"/>
      <w:marRight w:val="0"/>
      <w:marTop w:val="0"/>
      <w:marBottom w:val="0"/>
      <w:divBdr>
        <w:top w:val="none" w:sz="0" w:space="0" w:color="auto"/>
        <w:left w:val="none" w:sz="0" w:space="0" w:color="auto"/>
        <w:bottom w:val="none" w:sz="0" w:space="0" w:color="auto"/>
        <w:right w:val="none" w:sz="0" w:space="0" w:color="auto"/>
      </w:divBdr>
      <w:divsChild>
        <w:div w:id="1857956685">
          <w:marLeft w:val="0"/>
          <w:marRight w:val="0"/>
          <w:marTop w:val="0"/>
          <w:marBottom w:val="0"/>
          <w:divBdr>
            <w:top w:val="none" w:sz="0" w:space="0" w:color="auto"/>
            <w:left w:val="none" w:sz="0" w:space="0" w:color="auto"/>
            <w:bottom w:val="none" w:sz="0" w:space="0" w:color="auto"/>
            <w:right w:val="none" w:sz="0" w:space="0" w:color="auto"/>
          </w:divBdr>
        </w:div>
        <w:div w:id="849412244">
          <w:marLeft w:val="0"/>
          <w:marRight w:val="0"/>
          <w:marTop w:val="0"/>
          <w:marBottom w:val="0"/>
          <w:divBdr>
            <w:top w:val="none" w:sz="0" w:space="0" w:color="auto"/>
            <w:left w:val="none" w:sz="0" w:space="0" w:color="auto"/>
            <w:bottom w:val="none" w:sz="0" w:space="0" w:color="auto"/>
            <w:right w:val="none" w:sz="0" w:space="0" w:color="auto"/>
          </w:divBdr>
        </w:div>
        <w:div w:id="1063020306">
          <w:marLeft w:val="0"/>
          <w:marRight w:val="0"/>
          <w:marTop w:val="0"/>
          <w:marBottom w:val="0"/>
          <w:divBdr>
            <w:top w:val="none" w:sz="0" w:space="0" w:color="auto"/>
            <w:left w:val="none" w:sz="0" w:space="0" w:color="auto"/>
            <w:bottom w:val="none" w:sz="0" w:space="0" w:color="auto"/>
            <w:right w:val="none" w:sz="0" w:space="0" w:color="auto"/>
          </w:divBdr>
        </w:div>
        <w:div w:id="998266936">
          <w:marLeft w:val="0"/>
          <w:marRight w:val="0"/>
          <w:marTop w:val="0"/>
          <w:marBottom w:val="0"/>
          <w:divBdr>
            <w:top w:val="none" w:sz="0" w:space="0" w:color="auto"/>
            <w:left w:val="none" w:sz="0" w:space="0" w:color="auto"/>
            <w:bottom w:val="none" w:sz="0" w:space="0" w:color="auto"/>
            <w:right w:val="none" w:sz="0" w:space="0" w:color="auto"/>
          </w:divBdr>
        </w:div>
        <w:div w:id="2129545735">
          <w:marLeft w:val="0"/>
          <w:marRight w:val="0"/>
          <w:marTop w:val="0"/>
          <w:marBottom w:val="0"/>
          <w:divBdr>
            <w:top w:val="none" w:sz="0" w:space="0" w:color="auto"/>
            <w:left w:val="none" w:sz="0" w:space="0" w:color="auto"/>
            <w:bottom w:val="none" w:sz="0" w:space="0" w:color="auto"/>
            <w:right w:val="none" w:sz="0" w:space="0" w:color="auto"/>
          </w:divBdr>
        </w:div>
        <w:div w:id="148253335">
          <w:marLeft w:val="0"/>
          <w:marRight w:val="0"/>
          <w:marTop w:val="0"/>
          <w:marBottom w:val="0"/>
          <w:divBdr>
            <w:top w:val="none" w:sz="0" w:space="0" w:color="auto"/>
            <w:left w:val="none" w:sz="0" w:space="0" w:color="auto"/>
            <w:bottom w:val="none" w:sz="0" w:space="0" w:color="auto"/>
            <w:right w:val="none" w:sz="0" w:space="0" w:color="auto"/>
          </w:divBdr>
        </w:div>
        <w:div w:id="1935547145">
          <w:marLeft w:val="0"/>
          <w:marRight w:val="0"/>
          <w:marTop w:val="0"/>
          <w:marBottom w:val="0"/>
          <w:divBdr>
            <w:top w:val="none" w:sz="0" w:space="0" w:color="auto"/>
            <w:left w:val="none" w:sz="0" w:space="0" w:color="auto"/>
            <w:bottom w:val="none" w:sz="0" w:space="0" w:color="auto"/>
            <w:right w:val="none" w:sz="0" w:space="0" w:color="auto"/>
          </w:divBdr>
        </w:div>
        <w:div w:id="988441528">
          <w:marLeft w:val="0"/>
          <w:marRight w:val="0"/>
          <w:marTop w:val="0"/>
          <w:marBottom w:val="0"/>
          <w:divBdr>
            <w:top w:val="none" w:sz="0" w:space="0" w:color="auto"/>
            <w:left w:val="none" w:sz="0" w:space="0" w:color="auto"/>
            <w:bottom w:val="none" w:sz="0" w:space="0" w:color="auto"/>
            <w:right w:val="none" w:sz="0" w:space="0" w:color="auto"/>
          </w:divBdr>
        </w:div>
        <w:div w:id="474031798">
          <w:marLeft w:val="0"/>
          <w:marRight w:val="0"/>
          <w:marTop w:val="0"/>
          <w:marBottom w:val="0"/>
          <w:divBdr>
            <w:top w:val="none" w:sz="0" w:space="0" w:color="auto"/>
            <w:left w:val="none" w:sz="0" w:space="0" w:color="auto"/>
            <w:bottom w:val="none" w:sz="0" w:space="0" w:color="auto"/>
            <w:right w:val="none" w:sz="0" w:space="0" w:color="auto"/>
          </w:divBdr>
        </w:div>
        <w:div w:id="609706466">
          <w:marLeft w:val="0"/>
          <w:marRight w:val="0"/>
          <w:marTop w:val="0"/>
          <w:marBottom w:val="0"/>
          <w:divBdr>
            <w:top w:val="none" w:sz="0" w:space="0" w:color="auto"/>
            <w:left w:val="none" w:sz="0" w:space="0" w:color="auto"/>
            <w:bottom w:val="none" w:sz="0" w:space="0" w:color="auto"/>
            <w:right w:val="none" w:sz="0" w:space="0" w:color="auto"/>
          </w:divBdr>
        </w:div>
        <w:div w:id="1289507559">
          <w:marLeft w:val="0"/>
          <w:marRight w:val="0"/>
          <w:marTop w:val="0"/>
          <w:marBottom w:val="0"/>
          <w:divBdr>
            <w:top w:val="none" w:sz="0" w:space="0" w:color="auto"/>
            <w:left w:val="none" w:sz="0" w:space="0" w:color="auto"/>
            <w:bottom w:val="none" w:sz="0" w:space="0" w:color="auto"/>
            <w:right w:val="none" w:sz="0" w:space="0" w:color="auto"/>
          </w:divBdr>
        </w:div>
        <w:div w:id="2139715625">
          <w:marLeft w:val="0"/>
          <w:marRight w:val="0"/>
          <w:marTop w:val="0"/>
          <w:marBottom w:val="0"/>
          <w:divBdr>
            <w:top w:val="none" w:sz="0" w:space="0" w:color="auto"/>
            <w:left w:val="none" w:sz="0" w:space="0" w:color="auto"/>
            <w:bottom w:val="none" w:sz="0" w:space="0" w:color="auto"/>
            <w:right w:val="none" w:sz="0" w:space="0" w:color="auto"/>
          </w:divBdr>
        </w:div>
        <w:div w:id="1715421928">
          <w:marLeft w:val="0"/>
          <w:marRight w:val="0"/>
          <w:marTop w:val="0"/>
          <w:marBottom w:val="0"/>
          <w:divBdr>
            <w:top w:val="none" w:sz="0" w:space="0" w:color="auto"/>
            <w:left w:val="none" w:sz="0" w:space="0" w:color="auto"/>
            <w:bottom w:val="none" w:sz="0" w:space="0" w:color="auto"/>
            <w:right w:val="none" w:sz="0" w:space="0" w:color="auto"/>
          </w:divBdr>
        </w:div>
        <w:div w:id="1756785072">
          <w:marLeft w:val="0"/>
          <w:marRight w:val="0"/>
          <w:marTop w:val="0"/>
          <w:marBottom w:val="0"/>
          <w:divBdr>
            <w:top w:val="none" w:sz="0" w:space="0" w:color="auto"/>
            <w:left w:val="none" w:sz="0" w:space="0" w:color="auto"/>
            <w:bottom w:val="none" w:sz="0" w:space="0" w:color="auto"/>
            <w:right w:val="none" w:sz="0" w:space="0" w:color="auto"/>
          </w:divBdr>
        </w:div>
        <w:div w:id="595557954">
          <w:marLeft w:val="0"/>
          <w:marRight w:val="0"/>
          <w:marTop w:val="0"/>
          <w:marBottom w:val="0"/>
          <w:divBdr>
            <w:top w:val="none" w:sz="0" w:space="0" w:color="auto"/>
            <w:left w:val="none" w:sz="0" w:space="0" w:color="auto"/>
            <w:bottom w:val="none" w:sz="0" w:space="0" w:color="auto"/>
            <w:right w:val="none" w:sz="0" w:space="0" w:color="auto"/>
          </w:divBdr>
        </w:div>
        <w:div w:id="1429085194">
          <w:marLeft w:val="0"/>
          <w:marRight w:val="0"/>
          <w:marTop w:val="0"/>
          <w:marBottom w:val="0"/>
          <w:divBdr>
            <w:top w:val="none" w:sz="0" w:space="0" w:color="auto"/>
            <w:left w:val="none" w:sz="0" w:space="0" w:color="auto"/>
            <w:bottom w:val="none" w:sz="0" w:space="0" w:color="auto"/>
            <w:right w:val="none" w:sz="0" w:space="0" w:color="auto"/>
          </w:divBdr>
        </w:div>
        <w:div w:id="1237864969">
          <w:marLeft w:val="0"/>
          <w:marRight w:val="0"/>
          <w:marTop w:val="0"/>
          <w:marBottom w:val="0"/>
          <w:divBdr>
            <w:top w:val="none" w:sz="0" w:space="0" w:color="auto"/>
            <w:left w:val="none" w:sz="0" w:space="0" w:color="auto"/>
            <w:bottom w:val="none" w:sz="0" w:space="0" w:color="auto"/>
            <w:right w:val="none" w:sz="0" w:space="0" w:color="auto"/>
          </w:divBdr>
        </w:div>
        <w:div w:id="1009716982">
          <w:marLeft w:val="0"/>
          <w:marRight w:val="0"/>
          <w:marTop w:val="0"/>
          <w:marBottom w:val="0"/>
          <w:divBdr>
            <w:top w:val="none" w:sz="0" w:space="0" w:color="auto"/>
            <w:left w:val="none" w:sz="0" w:space="0" w:color="auto"/>
            <w:bottom w:val="none" w:sz="0" w:space="0" w:color="auto"/>
            <w:right w:val="none" w:sz="0" w:space="0" w:color="auto"/>
          </w:divBdr>
        </w:div>
        <w:div w:id="119610762">
          <w:marLeft w:val="0"/>
          <w:marRight w:val="0"/>
          <w:marTop w:val="0"/>
          <w:marBottom w:val="0"/>
          <w:divBdr>
            <w:top w:val="none" w:sz="0" w:space="0" w:color="auto"/>
            <w:left w:val="none" w:sz="0" w:space="0" w:color="auto"/>
            <w:bottom w:val="none" w:sz="0" w:space="0" w:color="auto"/>
            <w:right w:val="none" w:sz="0" w:space="0" w:color="auto"/>
          </w:divBdr>
        </w:div>
        <w:div w:id="1505975179">
          <w:marLeft w:val="0"/>
          <w:marRight w:val="0"/>
          <w:marTop w:val="0"/>
          <w:marBottom w:val="0"/>
          <w:divBdr>
            <w:top w:val="none" w:sz="0" w:space="0" w:color="auto"/>
            <w:left w:val="none" w:sz="0" w:space="0" w:color="auto"/>
            <w:bottom w:val="none" w:sz="0" w:space="0" w:color="auto"/>
            <w:right w:val="none" w:sz="0" w:space="0" w:color="auto"/>
          </w:divBdr>
        </w:div>
        <w:div w:id="1980256993">
          <w:marLeft w:val="0"/>
          <w:marRight w:val="0"/>
          <w:marTop w:val="0"/>
          <w:marBottom w:val="0"/>
          <w:divBdr>
            <w:top w:val="none" w:sz="0" w:space="0" w:color="auto"/>
            <w:left w:val="none" w:sz="0" w:space="0" w:color="auto"/>
            <w:bottom w:val="none" w:sz="0" w:space="0" w:color="auto"/>
            <w:right w:val="none" w:sz="0" w:space="0" w:color="auto"/>
          </w:divBdr>
        </w:div>
        <w:div w:id="583756639">
          <w:marLeft w:val="0"/>
          <w:marRight w:val="0"/>
          <w:marTop w:val="0"/>
          <w:marBottom w:val="0"/>
          <w:divBdr>
            <w:top w:val="none" w:sz="0" w:space="0" w:color="auto"/>
            <w:left w:val="none" w:sz="0" w:space="0" w:color="auto"/>
            <w:bottom w:val="none" w:sz="0" w:space="0" w:color="auto"/>
            <w:right w:val="none" w:sz="0" w:space="0" w:color="auto"/>
          </w:divBdr>
        </w:div>
        <w:div w:id="1257907646">
          <w:marLeft w:val="0"/>
          <w:marRight w:val="0"/>
          <w:marTop w:val="0"/>
          <w:marBottom w:val="0"/>
          <w:divBdr>
            <w:top w:val="none" w:sz="0" w:space="0" w:color="auto"/>
            <w:left w:val="none" w:sz="0" w:space="0" w:color="auto"/>
            <w:bottom w:val="none" w:sz="0" w:space="0" w:color="auto"/>
            <w:right w:val="none" w:sz="0" w:space="0" w:color="auto"/>
          </w:divBdr>
        </w:div>
        <w:div w:id="1793596205">
          <w:marLeft w:val="0"/>
          <w:marRight w:val="0"/>
          <w:marTop w:val="0"/>
          <w:marBottom w:val="0"/>
          <w:divBdr>
            <w:top w:val="none" w:sz="0" w:space="0" w:color="auto"/>
            <w:left w:val="none" w:sz="0" w:space="0" w:color="auto"/>
            <w:bottom w:val="none" w:sz="0" w:space="0" w:color="auto"/>
            <w:right w:val="none" w:sz="0" w:space="0" w:color="auto"/>
          </w:divBdr>
        </w:div>
        <w:div w:id="406197005">
          <w:marLeft w:val="0"/>
          <w:marRight w:val="0"/>
          <w:marTop w:val="0"/>
          <w:marBottom w:val="0"/>
          <w:divBdr>
            <w:top w:val="none" w:sz="0" w:space="0" w:color="auto"/>
            <w:left w:val="none" w:sz="0" w:space="0" w:color="auto"/>
            <w:bottom w:val="none" w:sz="0" w:space="0" w:color="auto"/>
            <w:right w:val="none" w:sz="0" w:space="0" w:color="auto"/>
          </w:divBdr>
        </w:div>
        <w:div w:id="2004506862">
          <w:marLeft w:val="0"/>
          <w:marRight w:val="0"/>
          <w:marTop w:val="0"/>
          <w:marBottom w:val="0"/>
          <w:divBdr>
            <w:top w:val="none" w:sz="0" w:space="0" w:color="auto"/>
            <w:left w:val="none" w:sz="0" w:space="0" w:color="auto"/>
            <w:bottom w:val="none" w:sz="0" w:space="0" w:color="auto"/>
            <w:right w:val="none" w:sz="0" w:space="0" w:color="auto"/>
          </w:divBdr>
        </w:div>
        <w:div w:id="1089545775">
          <w:marLeft w:val="0"/>
          <w:marRight w:val="0"/>
          <w:marTop w:val="0"/>
          <w:marBottom w:val="0"/>
          <w:divBdr>
            <w:top w:val="none" w:sz="0" w:space="0" w:color="auto"/>
            <w:left w:val="none" w:sz="0" w:space="0" w:color="auto"/>
            <w:bottom w:val="none" w:sz="0" w:space="0" w:color="auto"/>
            <w:right w:val="none" w:sz="0" w:space="0" w:color="auto"/>
          </w:divBdr>
        </w:div>
        <w:div w:id="2037150581">
          <w:marLeft w:val="0"/>
          <w:marRight w:val="0"/>
          <w:marTop w:val="0"/>
          <w:marBottom w:val="0"/>
          <w:divBdr>
            <w:top w:val="none" w:sz="0" w:space="0" w:color="auto"/>
            <w:left w:val="none" w:sz="0" w:space="0" w:color="auto"/>
            <w:bottom w:val="none" w:sz="0" w:space="0" w:color="auto"/>
            <w:right w:val="none" w:sz="0" w:space="0" w:color="auto"/>
          </w:divBdr>
        </w:div>
        <w:div w:id="4406551">
          <w:marLeft w:val="0"/>
          <w:marRight w:val="0"/>
          <w:marTop w:val="0"/>
          <w:marBottom w:val="0"/>
          <w:divBdr>
            <w:top w:val="none" w:sz="0" w:space="0" w:color="auto"/>
            <w:left w:val="none" w:sz="0" w:space="0" w:color="auto"/>
            <w:bottom w:val="none" w:sz="0" w:space="0" w:color="auto"/>
            <w:right w:val="none" w:sz="0" w:space="0" w:color="auto"/>
          </w:divBdr>
        </w:div>
        <w:div w:id="713888437">
          <w:marLeft w:val="0"/>
          <w:marRight w:val="0"/>
          <w:marTop w:val="0"/>
          <w:marBottom w:val="0"/>
          <w:divBdr>
            <w:top w:val="none" w:sz="0" w:space="0" w:color="auto"/>
            <w:left w:val="none" w:sz="0" w:space="0" w:color="auto"/>
            <w:bottom w:val="none" w:sz="0" w:space="0" w:color="auto"/>
            <w:right w:val="none" w:sz="0" w:space="0" w:color="auto"/>
          </w:divBdr>
        </w:div>
        <w:div w:id="1006637154">
          <w:marLeft w:val="0"/>
          <w:marRight w:val="0"/>
          <w:marTop w:val="0"/>
          <w:marBottom w:val="0"/>
          <w:divBdr>
            <w:top w:val="none" w:sz="0" w:space="0" w:color="auto"/>
            <w:left w:val="none" w:sz="0" w:space="0" w:color="auto"/>
            <w:bottom w:val="none" w:sz="0" w:space="0" w:color="auto"/>
            <w:right w:val="none" w:sz="0" w:space="0" w:color="auto"/>
          </w:divBdr>
        </w:div>
      </w:divsChild>
    </w:div>
    <w:div w:id="1553152722">
      <w:bodyDiv w:val="1"/>
      <w:marLeft w:val="0"/>
      <w:marRight w:val="0"/>
      <w:marTop w:val="0"/>
      <w:marBottom w:val="0"/>
      <w:divBdr>
        <w:top w:val="none" w:sz="0" w:space="0" w:color="auto"/>
        <w:left w:val="none" w:sz="0" w:space="0" w:color="auto"/>
        <w:bottom w:val="none" w:sz="0" w:space="0" w:color="auto"/>
        <w:right w:val="none" w:sz="0" w:space="0" w:color="auto"/>
      </w:divBdr>
      <w:divsChild>
        <w:div w:id="704840265">
          <w:marLeft w:val="0"/>
          <w:marRight w:val="0"/>
          <w:marTop w:val="0"/>
          <w:marBottom w:val="0"/>
          <w:divBdr>
            <w:top w:val="none" w:sz="0" w:space="0" w:color="auto"/>
            <w:left w:val="none" w:sz="0" w:space="0" w:color="auto"/>
            <w:bottom w:val="none" w:sz="0" w:space="0" w:color="auto"/>
            <w:right w:val="none" w:sz="0" w:space="0" w:color="auto"/>
          </w:divBdr>
        </w:div>
        <w:div w:id="691078260">
          <w:marLeft w:val="0"/>
          <w:marRight w:val="0"/>
          <w:marTop w:val="0"/>
          <w:marBottom w:val="0"/>
          <w:divBdr>
            <w:top w:val="none" w:sz="0" w:space="0" w:color="auto"/>
            <w:left w:val="none" w:sz="0" w:space="0" w:color="auto"/>
            <w:bottom w:val="none" w:sz="0" w:space="0" w:color="auto"/>
            <w:right w:val="none" w:sz="0" w:space="0" w:color="auto"/>
          </w:divBdr>
        </w:div>
        <w:div w:id="1874683455">
          <w:marLeft w:val="0"/>
          <w:marRight w:val="0"/>
          <w:marTop w:val="0"/>
          <w:marBottom w:val="0"/>
          <w:divBdr>
            <w:top w:val="none" w:sz="0" w:space="0" w:color="auto"/>
            <w:left w:val="none" w:sz="0" w:space="0" w:color="auto"/>
            <w:bottom w:val="none" w:sz="0" w:space="0" w:color="auto"/>
            <w:right w:val="none" w:sz="0" w:space="0" w:color="auto"/>
          </w:divBdr>
        </w:div>
        <w:div w:id="672873906">
          <w:marLeft w:val="0"/>
          <w:marRight w:val="0"/>
          <w:marTop w:val="0"/>
          <w:marBottom w:val="0"/>
          <w:divBdr>
            <w:top w:val="none" w:sz="0" w:space="0" w:color="auto"/>
            <w:left w:val="none" w:sz="0" w:space="0" w:color="auto"/>
            <w:bottom w:val="none" w:sz="0" w:space="0" w:color="auto"/>
            <w:right w:val="none" w:sz="0" w:space="0" w:color="auto"/>
          </w:divBdr>
        </w:div>
        <w:div w:id="1736779533">
          <w:marLeft w:val="0"/>
          <w:marRight w:val="0"/>
          <w:marTop w:val="0"/>
          <w:marBottom w:val="0"/>
          <w:divBdr>
            <w:top w:val="none" w:sz="0" w:space="0" w:color="auto"/>
            <w:left w:val="none" w:sz="0" w:space="0" w:color="auto"/>
            <w:bottom w:val="none" w:sz="0" w:space="0" w:color="auto"/>
            <w:right w:val="none" w:sz="0" w:space="0" w:color="auto"/>
          </w:divBdr>
        </w:div>
        <w:div w:id="1001083687">
          <w:marLeft w:val="0"/>
          <w:marRight w:val="0"/>
          <w:marTop w:val="0"/>
          <w:marBottom w:val="0"/>
          <w:divBdr>
            <w:top w:val="none" w:sz="0" w:space="0" w:color="auto"/>
            <w:left w:val="none" w:sz="0" w:space="0" w:color="auto"/>
            <w:bottom w:val="none" w:sz="0" w:space="0" w:color="auto"/>
            <w:right w:val="none" w:sz="0" w:space="0" w:color="auto"/>
          </w:divBdr>
        </w:div>
        <w:div w:id="637149504">
          <w:marLeft w:val="0"/>
          <w:marRight w:val="0"/>
          <w:marTop w:val="0"/>
          <w:marBottom w:val="0"/>
          <w:divBdr>
            <w:top w:val="none" w:sz="0" w:space="0" w:color="auto"/>
            <w:left w:val="none" w:sz="0" w:space="0" w:color="auto"/>
            <w:bottom w:val="none" w:sz="0" w:space="0" w:color="auto"/>
            <w:right w:val="none" w:sz="0" w:space="0" w:color="auto"/>
          </w:divBdr>
        </w:div>
        <w:div w:id="954559038">
          <w:marLeft w:val="0"/>
          <w:marRight w:val="0"/>
          <w:marTop w:val="0"/>
          <w:marBottom w:val="0"/>
          <w:divBdr>
            <w:top w:val="none" w:sz="0" w:space="0" w:color="auto"/>
            <w:left w:val="none" w:sz="0" w:space="0" w:color="auto"/>
            <w:bottom w:val="none" w:sz="0" w:space="0" w:color="auto"/>
            <w:right w:val="none" w:sz="0" w:space="0" w:color="auto"/>
          </w:divBdr>
        </w:div>
        <w:div w:id="1646736269">
          <w:marLeft w:val="0"/>
          <w:marRight w:val="0"/>
          <w:marTop w:val="0"/>
          <w:marBottom w:val="0"/>
          <w:divBdr>
            <w:top w:val="none" w:sz="0" w:space="0" w:color="auto"/>
            <w:left w:val="none" w:sz="0" w:space="0" w:color="auto"/>
            <w:bottom w:val="none" w:sz="0" w:space="0" w:color="auto"/>
            <w:right w:val="none" w:sz="0" w:space="0" w:color="auto"/>
          </w:divBdr>
        </w:div>
        <w:div w:id="1334379916">
          <w:marLeft w:val="0"/>
          <w:marRight w:val="0"/>
          <w:marTop w:val="0"/>
          <w:marBottom w:val="0"/>
          <w:divBdr>
            <w:top w:val="none" w:sz="0" w:space="0" w:color="auto"/>
            <w:left w:val="none" w:sz="0" w:space="0" w:color="auto"/>
            <w:bottom w:val="none" w:sz="0" w:space="0" w:color="auto"/>
            <w:right w:val="none" w:sz="0" w:space="0" w:color="auto"/>
          </w:divBdr>
        </w:div>
        <w:div w:id="1125660273">
          <w:marLeft w:val="0"/>
          <w:marRight w:val="0"/>
          <w:marTop w:val="0"/>
          <w:marBottom w:val="0"/>
          <w:divBdr>
            <w:top w:val="none" w:sz="0" w:space="0" w:color="auto"/>
            <w:left w:val="none" w:sz="0" w:space="0" w:color="auto"/>
            <w:bottom w:val="none" w:sz="0" w:space="0" w:color="auto"/>
            <w:right w:val="none" w:sz="0" w:space="0" w:color="auto"/>
          </w:divBdr>
        </w:div>
        <w:div w:id="382603361">
          <w:marLeft w:val="0"/>
          <w:marRight w:val="0"/>
          <w:marTop w:val="0"/>
          <w:marBottom w:val="0"/>
          <w:divBdr>
            <w:top w:val="none" w:sz="0" w:space="0" w:color="auto"/>
            <w:left w:val="none" w:sz="0" w:space="0" w:color="auto"/>
            <w:bottom w:val="none" w:sz="0" w:space="0" w:color="auto"/>
            <w:right w:val="none" w:sz="0" w:space="0" w:color="auto"/>
          </w:divBdr>
        </w:div>
        <w:div w:id="1447852518">
          <w:marLeft w:val="0"/>
          <w:marRight w:val="0"/>
          <w:marTop w:val="0"/>
          <w:marBottom w:val="0"/>
          <w:divBdr>
            <w:top w:val="none" w:sz="0" w:space="0" w:color="auto"/>
            <w:left w:val="none" w:sz="0" w:space="0" w:color="auto"/>
            <w:bottom w:val="none" w:sz="0" w:space="0" w:color="auto"/>
            <w:right w:val="none" w:sz="0" w:space="0" w:color="auto"/>
          </w:divBdr>
        </w:div>
        <w:div w:id="642202133">
          <w:marLeft w:val="0"/>
          <w:marRight w:val="0"/>
          <w:marTop w:val="0"/>
          <w:marBottom w:val="0"/>
          <w:divBdr>
            <w:top w:val="none" w:sz="0" w:space="0" w:color="auto"/>
            <w:left w:val="none" w:sz="0" w:space="0" w:color="auto"/>
            <w:bottom w:val="none" w:sz="0" w:space="0" w:color="auto"/>
            <w:right w:val="none" w:sz="0" w:space="0" w:color="auto"/>
          </w:divBdr>
        </w:div>
        <w:div w:id="1105685912">
          <w:marLeft w:val="0"/>
          <w:marRight w:val="0"/>
          <w:marTop w:val="0"/>
          <w:marBottom w:val="0"/>
          <w:divBdr>
            <w:top w:val="none" w:sz="0" w:space="0" w:color="auto"/>
            <w:left w:val="none" w:sz="0" w:space="0" w:color="auto"/>
            <w:bottom w:val="none" w:sz="0" w:space="0" w:color="auto"/>
            <w:right w:val="none" w:sz="0" w:space="0" w:color="auto"/>
          </w:divBdr>
        </w:div>
        <w:div w:id="129641297">
          <w:marLeft w:val="0"/>
          <w:marRight w:val="0"/>
          <w:marTop w:val="0"/>
          <w:marBottom w:val="0"/>
          <w:divBdr>
            <w:top w:val="none" w:sz="0" w:space="0" w:color="auto"/>
            <w:left w:val="none" w:sz="0" w:space="0" w:color="auto"/>
            <w:bottom w:val="none" w:sz="0" w:space="0" w:color="auto"/>
            <w:right w:val="none" w:sz="0" w:space="0" w:color="auto"/>
          </w:divBdr>
        </w:div>
        <w:div w:id="1628003183">
          <w:marLeft w:val="0"/>
          <w:marRight w:val="0"/>
          <w:marTop w:val="0"/>
          <w:marBottom w:val="0"/>
          <w:divBdr>
            <w:top w:val="none" w:sz="0" w:space="0" w:color="auto"/>
            <w:left w:val="none" w:sz="0" w:space="0" w:color="auto"/>
            <w:bottom w:val="none" w:sz="0" w:space="0" w:color="auto"/>
            <w:right w:val="none" w:sz="0" w:space="0" w:color="auto"/>
          </w:divBdr>
        </w:div>
        <w:div w:id="1578245687">
          <w:marLeft w:val="0"/>
          <w:marRight w:val="0"/>
          <w:marTop w:val="0"/>
          <w:marBottom w:val="0"/>
          <w:divBdr>
            <w:top w:val="none" w:sz="0" w:space="0" w:color="auto"/>
            <w:left w:val="none" w:sz="0" w:space="0" w:color="auto"/>
            <w:bottom w:val="none" w:sz="0" w:space="0" w:color="auto"/>
            <w:right w:val="none" w:sz="0" w:space="0" w:color="auto"/>
          </w:divBdr>
        </w:div>
        <w:div w:id="936059766">
          <w:marLeft w:val="0"/>
          <w:marRight w:val="0"/>
          <w:marTop w:val="0"/>
          <w:marBottom w:val="0"/>
          <w:divBdr>
            <w:top w:val="none" w:sz="0" w:space="0" w:color="auto"/>
            <w:left w:val="none" w:sz="0" w:space="0" w:color="auto"/>
            <w:bottom w:val="none" w:sz="0" w:space="0" w:color="auto"/>
            <w:right w:val="none" w:sz="0" w:space="0" w:color="auto"/>
          </w:divBdr>
        </w:div>
        <w:div w:id="10649240">
          <w:marLeft w:val="0"/>
          <w:marRight w:val="0"/>
          <w:marTop w:val="0"/>
          <w:marBottom w:val="0"/>
          <w:divBdr>
            <w:top w:val="none" w:sz="0" w:space="0" w:color="auto"/>
            <w:left w:val="none" w:sz="0" w:space="0" w:color="auto"/>
            <w:bottom w:val="none" w:sz="0" w:space="0" w:color="auto"/>
            <w:right w:val="none" w:sz="0" w:space="0" w:color="auto"/>
          </w:divBdr>
        </w:div>
        <w:div w:id="1122580586">
          <w:marLeft w:val="0"/>
          <w:marRight w:val="0"/>
          <w:marTop w:val="0"/>
          <w:marBottom w:val="0"/>
          <w:divBdr>
            <w:top w:val="none" w:sz="0" w:space="0" w:color="auto"/>
            <w:left w:val="none" w:sz="0" w:space="0" w:color="auto"/>
            <w:bottom w:val="none" w:sz="0" w:space="0" w:color="auto"/>
            <w:right w:val="none" w:sz="0" w:space="0" w:color="auto"/>
          </w:divBdr>
        </w:div>
        <w:div w:id="1398746846">
          <w:marLeft w:val="0"/>
          <w:marRight w:val="0"/>
          <w:marTop w:val="0"/>
          <w:marBottom w:val="0"/>
          <w:divBdr>
            <w:top w:val="none" w:sz="0" w:space="0" w:color="auto"/>
            <w:left w:val="none" w:sz="0" w:space="0" w:color="auto"/>
            <w:bottom w:val="none" w:sz="0" w:space="0" w:color="auto"/>
            <w:right w:val="none" w:sz="0" w:space="0" w:color="auto"/>
          </w:divBdr>
        </w:div>
        <w:div w:id="120805447">
          <w:marLeft w:val="0"/>
          <w:marRight w:val="0"/>
          <w:marTop w:val="0"/>
          <w:marBottom w:val="0"/>
          <w:divBdr>
            <w:top w:val="none" w:sz="0" w:space="0" w:color="auto"/>
            <w:left w:val="none" w:sz="0" w:space="0" w:color="auto"/>
            <w:bottom w:val="none" w:sz="0" w:space="0" w:color="auto"/>
            <w:right w:val="none" w:sz="0" w:space="0" w:color="auto"/>
          </w:divBdr>
        </w:div>
        <w:div w:id="1091387733">
          <w:marLeft w:val="0"/>
          <w:marRight w:val="0"/>
          <w:marTop w:val="0"/>
          <w:marBottom w:val="0"/>
          <w:divBdr>
            <w:top w:val="none" w:sz="0" w:space="0" w:color="auto"/>
            <w:left w:val="none" w:sz="0" w:space="0" w:color="auto"/>
            <w:bottom w:val="none" w:sz="0" w:space="0" w:color="auto"/>
            <w:right w:val="none" w:sz="0" w:space="0" w:color="auto"/>
          </w:divBdr>
        </w:div>
        <w:div w:id="1766808157">
          <w:marLeft w:val="0"/>
          <w:marRight w:val="0"/>
          <w:marTop w:val="0"/>
          <w:marBottom w:val="0"/>
          <w:divBdr>
            <w:top w:val="none" w:sz="0" w:space="0" w:color="auto"/>
            <w:left w:val="none" w:sz="0" w:space="0" w:color="auto"/>
            <w:bottom w:val="none" w:sz="0" w:space="0" w:color="auto"/>
            <w:right w:val="none" w:sz="0" w:space="0" w:color="auto"/>
          </w:divBdr>
        </w:div>
        <w:div w:id="1202087900">
          <w:marLeft w:val="0"/>
          <w:marRight w:val="0"/>
          <w:marTop w:val="0"/>
          <w:marBottom w:val="0"/>
          <w:divBdr>
            <w:top w:val="none" w:sz="0" w:space="0" w:color="auto"/>
            <w:left w:val="none" w:sz="0" w:space="0" w:color="auto"/>
            <w:bottom w:val="none" w:sz="0" w:space="0" w:color="auto"/>
            <w:right w:val="none" w:sz="0" w:space="0" w:color="auto"/>
          </w:divBdr>
        </w:div>
        <w:div w:id="78909452">
          <w:marLeft w:val="0"/>
          <w:marRight w:val="0"/>
          <w:marTop w:val="0"/>
          <w:marBottom w:val="0"/>
          <w:divBdr>
            <w:top w:val="none" w:sz="0" w:space="0" w:color="auto"/>
            <w:left w:val="none" w:sz="0" w:space="0" w:color="auto"/>
            <w:bottom w:val="none" w:sz="0" w:space="0" w:color="auto"/>
            <w:right w:val="none" w:sz="0" w:space="0" w:color="auto"/>
          </w:divBdr>
        </w:div>
        <w:div w:id="772437982">
          <w:marLeft w:val="0"/>
          <w:marRight w:val="0"/>
          <w:marTop w:val="0"/>
          <w:marBottom w:val="0"/>
          <w:divBdr>
            <w:top w:val="none" w:sz="0" w:space="0" w:color="auto"/>
            <w:left w:val="none" w:sz="0" w:space="0" w:color="auto"/>
            <w:bottom w:val="none" w:sz="0" w:space="0" w:color="auto"/>
            <w:right w:val="none" w:sz="0" w:space="0" w:color="auto"/>
          </w:divBdr>
        </w:div>
        <w:div w:id="858280597">
          <w:marLeft w:val="0"/>
          <w:marRight w:val="0"/>
          <w:marTop w:val="0"/>
          <w:marBottom w:val="0"/>
          <w:divBdr>
            <w:top w:val="none" w:sz="0" w:space="0" w:color="auto"/>
            <w:left w:val="none" w:sz="0" w:space="0" w:color="auto"/>
            <w:bottom w:val="none" w:sz="0" w:space="0" w:color="auto"/>
            <w:right w:val="none" w:sz="0" w:space="0" w:color="auto"/>
          </w:divBdr>
        </w:div>
        <w:div w:id="818770806">
          <w:marLeft w:val="0"/>
          <w:marRight w:val="0"/>
          <w:marTop w:val="0"/>
          <w:marBottom w:val="0"/>
          <w:divBdr>
            <w:top w:val="none" w:sz="0" w:space="0" w:color="auto"/>
            <w:left w:val="none" w:sz="0" w:space="0" w:color="auto"/>
            <w:bottom w:val="none" w:sz="0" w:space="0" w:color="auto"/>
            <w:right w:val="none" w:sz="0" w:space="0" w:color="auto"/>
          </w:divBdr>
        </w:div>
        <w:div w:id="503320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2314</Words>
  <Characters>13190</Characters>
  <Application>Microsoft Office Word</Application>
  <DocSecurity>0</DocSecurity>
  <Lines>109</Lines>
  <Paragraphs>30</Paragraphs>
  <ScaleCrop>false</ScaleCrop>
  <Company/>
  <LinksUpToDate>false</LinksUpToDate>
  <CharactersWithSpaces>15474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2020-04-26T12:09:00Z</dcterms:created>
  <dcterms:modified xsi:type="dcterms:W3CDTF">2020-04-26T12:10:00Z</dcterms:modified>
</cp:coreProperties>
</file>