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C78" w:rsidRPr="00FE1C78" w:rsidRDefault="00FE1C78" w:rsidP="00FE1C78">
      <w:pPr>
        <w:jc w:val="center"/>
        <w:rPr>
          <w:sz w:val="32"/>
          <w:szCs w:val="32"/>
        </w:rPr>
      </w:pPr>
      <w:bookmarkStart w:id="0" w:name="Anchor1"/>
      <w:bookmarkEnd w:id="0"/>
      <w:r w:rsidRPr="00FE1C78">
        <w:rPr>
          <w:sz w:val="32"/>
          <w:szCs w:val="32"/>
          <w:rtl/>
        </w:rPr>
        <w:t>الطعن رقم 250/201</w:t>
      </w:r>
      <w:bookmarkStart w:id="1" w:name="_GoBack"/>
      <w:bookmarkEnd w:id="1"/>
      <w:r w:rsidRPr="00FE1C78">
        <w:rPr>
          <w:sz w:val="32"/>
          <w:szCs w:val="32"/>
          <w:rtl/>
        </w:rPr>
        <w:t>4</w:t>
      </w:r>
    </w:p>
    <w:p w:rsidR="00FE1C78" w:rsidRPr="00FE1C78" w:rsidRDefault="00FE1C78" w:rsidP="00FE1C78">
      <w:pPr>
        <w:rPr>
          <w:sz w:val="32"/>
          <w:szCs w:val="32"/>
        </w:rPr>
      </w:pPr>
      <w:bookmarkStart w:id="2" w:name="Anchor6"/>
      <w:bookmarkEnd w:id="2"/>
      <w:r w:rsidRPr="00FE1C78">
        <w:rPr>
          <w:sz w:val="32"/>
          <w:szCs w:val="32"/>
          <w:rtl/>
        </w:rPr>
        <w:t>هيئة المحكمة</w:t>
      </w:r>
      <w:r w:rsidRPr="00FE1C78">
        <w:rPr>
          <w:sz w:val="32"/>
          <w:szCs w:val="32"/>
        </w:rPr>
        <w:t xml:space="preserve">: </w:t>
      </w:r>
      <w:r w:rsidRPr="00FE1C78">
        <w:rPr>
          <w:sz w:val="32"/>
          <w:szCs w:val="32"/>
          <w:rtl/>
        </w:rPr>
        <w:t>برئاسة السيد المستشار عبـد الــعزيز الفـــــهد وكيل المحكمة وعضوية السادة المستشارين يوسف العمران ومصطفي ثابت ومحمود التركاوي وعبد الرحمن مطاوع</w:t>
      </w:r>
    </w:p>
    <w:bookmarkStart w:id="3" w:name="Anchor23"/>
    <w:bookmarkEnd w:id="3"/>
    <w:p w:rsidR="00FE1C78" w:rsidRPr="00FE1C78" w:rsidRDefault="00FE1C78" w:rsidP="00FE1C78">
      <w:pPr>
        <w:rPr>
          <w:sz w:val="32"/>
          <w:szCs w:val="32"/>
        </w:rPr>
      </w:pPr>
      <w:r w:rsidRPr="00FE1C78">
        <w:rPr>
          <w:sz w:val="32"/>
          <w:szCs w:val="32"/>
        </w:rPr>
        <w:fldChar w:fldCharType="begin"/>
      </w:r>
      <w:r w:rsidRPr="00FE1C78">
        <w:rPr>
          <w:sz w:val="32"/>
          <w:szCs w:val="32"/>
        </w:rPr>
        <w:instrText xml:space="preserve"> HYPERLINK "http://www.law.gov.kw/KWT_CC-Ar/00_2014/00_%D8%A7%D9%84%D8%AF%D8%A7%D8%A6%D8%B1%D8%A9%20%D8%A7%D9%84%D8%AA%D8%AC%D8%A7%D8%B1%D9%8A%D8%A9/KWT-CC-Ar_2014-06-23_00250_Taan.html" \l "TM2014_250_1" </w:instrText>
      </w:r>
      <w:r w:rsidRPr="00FE1C78">
        <w:rPr>
          <w:sz w:val="32"/>
          <w:szCs w:val="32"/>
        </w:rPr>
        <w:fldChar w:fldCharType="separate"/>
      </w:r>
      <w:r w:rsidRPr="00FE1C78">
        <w:rPr>
          <w:rStyle w:val="Hyperlink"/>
          <w:sz w:val="32"/>
          <w:szCs w:val="32"/>
        </w:rPr>
        <w:t xml:space="preserve">1- </w:t>
      </w:r>
      <w:r w:rsidRPr="00FE1C78">
        <w:rPr>
          <w:rStyle w:val="Hyperlink"/>
          <w:sz w:val="32"/>
          <w:szCs w:val="32"/>
          <w:rtl/>
        </w:rPr>
        <w:t>ان لمحكمة الموضوع سلطة تحصيل وفهم الواقع في الدعوى وتقدير الأدلة والمستندات المقدمة فيها</w:t>
      </w:r>
      <w:r w:rsidRPr="00FE1C78">
        <w:rPr>
          <w:rStyle w:val="Hyperlink"/>
          <w:sz w:val="32"/>
          <w:szCs w:val="32"/>
        </w:rPr>
        <w:t>.</w:t>
      </w:r>
      <w:r w:rsidRPr="00FE1C78">
        <w:rPr>
          <w:sz w:val="32"/>
          <w:szCs w:val="32"/>
        </w:rPr>
        <w:fldChar w:fldCharType="end"/>
      </w:r>
    </w:p>
    <w:bookmarkStart w:id="4" w:name="Anchor35"/>
    <w:bookmarkEnd w:id="4"/>
    <w:p w:rsidR="00FE1C78" w:rsidRPr="00FE1C78" w:rsidRDefault="00FE1C78" w:rsidP="00FE1C78">
      <w:pPr>
        <w:rPr>
          <w:sz w:val="32"/>
          <w:szCs w:val="32"/>
        </w:rPr>
      </w:pPr>
      <w:r w:rsidRPr="00FE1C78">
        <w:rPr>
          <w:sz w:val="32"/>
          <w:szCs w:val="32"/>
        </w:rPr>
        <w:fldChar w:fldCharType="begin"/>
      </w:r>
      <w:r w:rsidRPr="00FE1C78">
        <w:rPr>
          <w:sz w:val="32"/>
          <w:szCs w:val="32"/>
        </w:rPr>
        <w:instrText xml:space="preserve"> HYPERLINK "http://www.law.gov.kw/KWT_CC-Ar/00_2014/00_%D8%A7%D9%84%D8%AF%D8%A7%D8%A6%D8%B1%D8%A9%20%D8%A7%D9%84%D8%AA%D8%AC%D8%A7%D8%B1%D9%8A%D8%A9/KWT-CC-Ar_2014-06-23_00250_Taan.html" \l "TM2014_250_2" </w:instrText>
      </w:r>
      <w:r w:rsidRPr="00FE1C78">
        <w:rPr>
          <w:sz w:val="32"/>
          <w:szCs w:val="32"/>
        </w:rPr>
        <w:fldChar w:fldCharType="separate"/>
      </w:r>
      <w:r w:rsidRPr="00FE1C78">
        <w:rPr>
          <w:rStyle w:val="Hyperlink"/>
          <w:sz w:val="32"/>
          <w:szCs w:val="32"/>
        </w:rPr>
        <w:t xml:space="preserve">2- </w:t>
      </w:r>
      <w:r w:rsidRPr="00FE1C78">
        <w:rPr>
          <w:rStyle w:val="Hyperlink"/>
          <w:sz w:val="32"/>
          <w:szCs w:val="32"/>
          <w:rtl/>
        </w:rPr>
        <w:t>إن تقدير توقيع الجزاء لناحية إعتبار الإستئناف كأن لم يكن هو من المسائل المتروكة لمحكمة الموضوع شرط إقامة قضائها على أسباب سائغة</w:t>
      </w:r>
      <w:r w:rsidRPr="00FE1C78">
        <w:rPr>
          <w:rStyle w:val="Hyperlink"/>
          <w:sz w:val="32"/>
          <w:szCs w:val="32"/>
        </w:rPr>
        <w:t>.</w:t>
      </w:r>
      <w:r w:rsidRPr="00FE1C78">
        <w:rPr>
          <w:sz w:val="32"/>
          <w:szCs w:val="32"/>
        </w:rPr>
        <w:fldChar w:fldCharType="end"/>
      </w:r>
    </w:p>
    <w:bookmarkStart w:id="5" w:name="Anchor50"/>
    <w:bookmarkEnd w:id="5"/>
    <w:p w:rsidR="00FE1C78" w:rsidRPr="00FE1C78" w:rsidRDefault="00FE1C78" w:rsidP="00FE1C78">
      <w:pPr>
        <w:rPr>
          <w:sz w:val="32"/>
          <w:szCs w:val="32"/>
        </w:rPr>
      </w:pPr>
      <w:r w:rsidRPr="00FE1C78">
        <w:rPr>
          <w:sz w:val="32"/>
          <w:szCs w:val="32"/>
        </w:rPr>
        <w:fldChar w:fldCharType="begin"/>
      </w:r>
      <w:r w:rsidRPr="00FE1C78">
        <w:rPr>
          <w:sz w:val="32"/>
          <w:szCs w:val="32"/>
        </w:rPr>
        <w:instrText xml:space="preserve"> HYPERLINK "http://www.law.gov.kw/KWT_CC-Ar/00_2014/00_%D8%A7%D9%84%D8%AF%D8%A7%D8%A6%D8%B1%D8%A9%20%D8%A7%D9%84%D8%AA%D8%AC%D8%A7%D8%B1%D9%8A%D8%A9/KWT-CC-Ar_2014-06-23_00250_Taan.html" \l "TM2014_250_3" </w:instrText>
      </w:r>
      <w:r w:rsidRPr="00FE1C78">
        <w:rPr>
          <w:sz w:val="32"/>
          <w:szCs w:val="32"/>
        </w:rPr>
        <w:fldChar w:fldCharType="separate"/>
      </w:r>
      <w:r w:rsidRPr="00FE1C78">
        <w:rPr>
          <w:rStyle w:val="Hyperlink"/>
          <w:sz w:val="32"/>
          <w:szCs w:val="32"/>
        </w:rPr>
        <w:t xml:space="preserve">3- </w:t>
      </w:r>
      <w:r w:rsidRPr="00FE1C78">
        <w:rPr>
          <w:rStyle w:val="Hyperlink"/>
          <w:sz w:val="32"/>
          <w:szCs w:val="32"/>
          <w:rtl/>
        </w:rPr>
        <w:t>إن وجه النعي الذي لا يصادف محلاً في قضاء الحكم المطعون فيه يكون غير مقبول</w:t>
      </w:r>
      <w:r w:rsidRPr="00FE1C78">
        <w:rPr>
          <w:rStyle w:val="Hyperlink"/>
          <w:sz w:val="32"/>
          <w:szCs w:val="32"/>
        </w:rPr>
        <w:t>.</w:t>
      </w:r>
      <w:r w:rsidRPr="00FE1C78">
        <w:rPr>
          <w:sz w:val="32"/>
          <w:szCs w:val="32"/>
        </w:rPr>
        <w:fldChar w:fldCharType="end"/>
      </w:r>
      <w:r w:rsidRPr="00FE1C78">
        <w:rPr>
          <w:sz w:val="32"/>
          <w:szCs w:val="32"/>
        </w:rPr>
        <w:br/>
      </w:r>
      <w:r w:rsidRPr="00FE1C78">
        <w:rPr>
          <w:sz w:val="32"/>
          <w:szCs w:val="32"/>
        </w:rPr>
        <w:br/>
      </w:r>
      <w:r w:rsidRPr="00FE1C78">
        <w:rPr>
          <w:sz w:val="32"/>
          <w:szCs w:val="32"/>
          <w:u w:val="single"/>
          <w:rtl/>
        </w:rPr>
        <w:t>ملاحظة</w:t>
      </w:r>
      <w:r w:rsidRPr="00FE1C78">
        <w:rPr>
          <w:sz w:val="32"/>
          <w:szCs w:val="32"/>
          <w:u w:val="single"/>
        </w:rPr>
        <w:t xml:space="preserve"> :</w:t>
      </w:r>
      <w:r w:rsidRPr="00FE1C78">
        <w:rPr>
          <w:sz w:val="32"/>
          <w:szCs w:val="32"/>
        </w:rPr>
        <w:br/>
      </w:r>
      <w:r w:rsidRPr="00FE1C78">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FE1C78" w:rsidRPr="00FE1C78" w:rsidRDefault="00FE1C78" w:rsidP="00FE1C78">
      <w:pPr>
        <w:rPr>
          <w:sz w:val="32"/>
          <w:szCs w:val="32"/>
        </w:rPr>
      </w:pPr>
      <w:bookmarkStart w:id="6" w:name="Anchor58"/>
      <w:bookmarkEnd w:id="6"/>
      <w:r w:rsidRPr="00FE1C78">
        <w:rPr>
          <w:b/>
          <w:bCs/>
          <w:sz w:val="32"/>
          <w:szCs w:val="32"/>
          <w:rtl/>
        </w:rPr>
        <w:t>المحكمة</w:t>
      </w:r>
    </w:p>
    <w:p w:rsidR="00FE1C78" w:rsidRPr="00FE1C78" w:rsidRDefault="00FE1C78" w:rsidP="00FE1C78">
      <w:pPr>
        <w:rPr>
          <w:sz w:val="32"/>
          <w:szCs w:val="32"/>
        </w:rPr>
      </w:pPr>
      <w:bookmarkStart w:id="7" w:name="Anchor59"/>
      <w:bookmarkEnd w:id="7"/>
      <w:r w:rsidRPr="00FE1C78">
        <w:rPr>
          <w:sz w:val="32"/>
          <w:szCs w:val="32"/>
          <w:rtl/>
        </w:rPr>
        <w:t>بعد الاطلاع على الأوراق والمداولة</w:t>
      </w:r>
      <w:r w:rsidRPr="00FE1C78">
        <w:rPr>
          <w:sz w:val="32"/>
          <w:szCs w:val="32"/>
        </w:rPr>
        <w:t>.</w:t>
      </w:r>
    </w:p>
    <w:p w:rsidR="00FE1C78" w:rsidRPr="00FE1C78" w:rsidRDefault="00FE1C78" w:rsidP="00FE1C78">
      <w:pPr>
        <w:rPr>
          <w:sz w:val="32"/>
          <w:szCs w:val="32"/>
        </w:rPr>
      </w:pPr>
      <w:bookmarkStart w:id="8" w:name="Anchor64"/>
      <w:bookmarkEnd w:id="8"/>
      <w:r w:rsidRPr="00FE1C78">
        <w:rPr>
          <w:sz w:val="32"/>
          <w:szCs w:val="32"/>
          <w:rtl/>
        </w:rPr>
        <w:t xml:space="preserve">لما كان </w:t>
      </w:r>
      <w:bookmarkStart w:id="9" w:name="TM2014_250_1"/>
      <w:bookmarkEnd w:id="9"/>
      <w:r w:rsidRPr="00FE1C78">
        <w:rPr>
          <w:b/>
          <w:bCs/>
          <w:sz w:val="32"/>
          <w:szCs w:val="32"/>
          <w:rtl/>
        </w:rPr>
        <w:t>من المقرر أن لمحكمة الموضوع السلطة التامة في تحصيل وفهم الواقع في الدعوي وتقدير الأدلة والمستندات المقدمة فيها الأخذ بما تطمئن اليها</w:t>
      </w:r>
      <w:r w:rsidRPr="00FE1C78">
        <w:rPr>
          <w:sz w:val="32"/>
          <w:szCs w:val="32"/>
          <w:rtl/>
        </w:rPr>
        <w:t xml:space="preserve"> وان </w:t>
      </w:r>
      <w:bookmarkStart w:id="10" w:name="TM2014_250_2"/>
      <w:bookmarkEnd w:id="10"/>
      <w:r w:rsidRPr="00FE1C78">
        <w:rPr>
          <w:b/>
          <w:bCs/>
          <w:sz w:val="32"/>
          <w:szCs w:val="32"/>
          <w:rtl/>
        </w:rPr>
        <w:t>تقدير توقيع الجزاء باعتبار الاستئناف كان لم يكن من اطلاقات محكمة الموضوع ولها في سبيل الوصول الى توافر شرائطه من عدم توافرها أن تأخذ بما تطمئن اليه متي أقامت قضاءها على أسباب سائغة وكان الحكم المطعون فيه قد أقام قضاءه</w:t>
      </w:r>
      <w:r w:rsidRPr="00FE1C78">
        <w:rPr>
          <w:b/>
          <w:bCs/>
          <w:sz w:val="32"/>
          <w:szCs w:val="32"/>
        </w:rPr>
        <w:t xml:space="preserve">. </w:t>
      </w:r>
      <w:r w:rsidRPr="00FE1C78">
        <w:rPr>
          <w:b/>
          <w:bCs/>
          <w:sz w:val="32"/>
          <w:szCs w:val="32"/>
          <w:rtl/>
        </w:rPr>
        <w:t xml:space="preserve">باعتبار الاستئناف كأن لم يكن على ما خلص اليه من أوراق الدعوى أن المستأنف قد أعلن المستأنف ضدهم في مواجهة النيابة مباشرة دون إجراء التحريات اللازمة للوقوف على محل إقامة المستأنف ضدهما الثانية والثالثة وهو ذات العيب الذي اسست عليه بطلان أمر الاداء فقضت المحكمة بوقف الدعوى جزاء الا أنه عاود إعلانهما في مواجهة النيابة العامة مباشرة دون إجراء التحريات اللازمة سالفة الذكر وعليه فإن المستأنف لم ينقذ ما أمرت به المحكمة من إعلان المستأنف ضدهما إعلانا صحيحاً ورتب على ذلك قضاءها باعتبار الاستئناف كأن لم يكن وكان هذا الاستخلاص من الحكم سائغا وله أصل ثابت </w:t>
      </w:r>
      <w:r w:rsidRPr="00FE1C78">
        <w:rPr>
          <w:b/>
          <w:bCs/>
          <w:sz w:val="32"/>
          <w:szCs w:val="32"/>
          <w:rtl/>
        </w:rPr>
        <w:lastRenderedPageBreak/>
        <w:t>بالأوراق ويؤدي الى النتيجة التي إنتهت اليها فإن ما يثيره الطاعن بسببي الطعن الأول والثاني جول تعييب هذا الاستخلاص لا يعدو أن يكون جدلا فيما لمحكمة الموضوع سلطة تقديره مما لا يجوز إثارته أمام هذه المحكمة</w:t>
      </w:r>
    </w:p>
    <w:p w:rsidR="00FE1C78" w:rsidRPr="00FE1C78" w:rsidRDefault="00FE1C78" w:rsidP="00FE1C78">
      <w:pPr>
        <w:rPr>
          <w:sz w:val="32"/>
          <w:szCs w:val="32"/>
        </w:rPr>
      </w:pPr>
      <w:bookmarkStart w:id="11" w:name="Anchor178"/>
      <w:bookmarkStart w:id="12" w:name="TM2014_250_3"/>
      <w:bookmarkEnd w:id="11"/>
      <w:bookmarkEnd w:id="12"/>
      <w:r w:rsidRPr="00FE1C78">
        <w:rPr>
          <w:b/>
          <w:bCs/>
          <w:sz w:val="32"/>
          <w:szCs w:val="32"/>
          <w:rtl/>
        </w:rPr>
        <w:t>أما بشأن ما يثيره الطاعن بالسبب الثالث من بطلان الحكم الابتدائي إذ تصدى لموضوع التظلم بعد ان أنتهي الى بطلان إعلان الطاعن بالأمر فهو لا يصادف محلاً من قضاء الحكم المطعون فيه ومن ثم غير مقبول مما يتعين عدم قبول الطعن عملا بالمادتين 152، 154/5 من قانون المرافعات</w:t>
      </w:r>
      <w:r w:rsidRPr="00FE1C78">
        <w:rPr>
          <w:b/>
          <w:bCs/>
          <w:sz w:val="32"/>
          <w:szCs w:val="32"/>
        </w:rPr>
        <w:t>.</w:t>
      </w:r>
    </w:p>
    <w:p w:rsidR="00FE1C78" w:rsidRPr="00FE1C78" w:rsidRDefault="00FE1C78" w:rsidP="00FE1C78">
      <w:pPr>
        <w:rPr>
          <w:sz w:val="32"/>
          <w:szCs w:val="32"/>
        </w:rPr>
      </w:pPr>
      <w:bookmarkStart w:id="13" w:name="Anchor202"/>
      <w:bookmarkEnd w:id="13"/>
      <w:r w:rsidRPr="00FE1C78">
        <w:rPr>
          <w:b/>
          <w:bCs/>
          <w:sz w:val="32"/>
          <w:szCs w:val="32"/>
          <w:rtl/>
        </w:rPr>
        <w:t>لذلك</w:t>
      </w:r>
    </w:p>
    <w:p w:rsidR="00FE1C78" w:rsidRPr="00FE1C78" w:rsidRDefault="00FE1C78" w:rsidP="00FE1C78">
      <w:pPr>
        <w:rPr>
          <w:sz w:val="32"/>
          <w:szCs w:val="32"/>
        </w:rPr>
      </w:pPr>
      <w:bookmarkStart w:id="14" w:name="Anchor203"/>
      <w:bookmarkEnd w:id="14"/>
      <w:r w:rsidRPr="00FE1C78">
        <w:rPr>
          <w:sz w:val="32"/>
          <w:szCs w:val="32"/>
          <w:rtl/>
        </w:rPr>
        <w:t>قررت المحكمة في غرفة المشورة عدم قبول الطعن والزمت الطاعن المصروفات وعشرين دينارا مقابل أتعاب المحاماة، مع مصادرة الكفالة</w:t>
      </w:r>
      <w:r w:rsidRPr="00FE1C78">
        <w:rPr>
          <w:sz w:val="32"/>
          <w:szCs w:val="32"/>
        </w:rPr>
        <w:t>.</w:t>
      </w:r>
    </w:p>
    <w:p w:rsidR="00FE1C78" w:rsidRPr="00FE1C78" w:rsidRDefault="00FE1C78" w:rsidP="00FE1C78">
      <w:pPr>
        <w:rPr>
          <w:sz w:val="32"/>
          <w:szCs w:val="32"/>
        </w:rPr>
      </w:pPr>
    </w:p>
    <w:p w:rsidR="00FE1C78" w:rsidRPr="00FE1C78" w:rsidRDefault="00FE1C78" w:rsidP="00FE1C78">
      <w:pPr>
        <w:rPr>
          <w:sz w:val="32"/>
          <w:szCs w:val="32"/>
        </w:rPr>
      </w:pPr>
      <w:bookmarkStart w:id="15" w:name="Anchor217"/>
      <w:bookmarkEnd w:id="15"/>
      <w:r w:rsidRPr="00FE1C78">
        <w:rPr>
          <w:sz w:val="32"/>
          <w:szCs w:val="32"/>
        </w:rPr>
        <w:t>* * *</w:t>
      </w:r>
    </w:p>
    <w:p w:rsidR="008C2BA0" w:rsidRPr="00FE1C78" w:rsidRDefault="008C2BA0">
      <w:pPr>
        <w:rPr>
          <w:sz w:val="32"/>
          <w:szCs w:val="32"/>
        </w:rPr>
      </w:pPr>
    </w:p>
    <w:sectPr w:rsidR="008C2BA0" w:rsidRPr="00FE1C78"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502"/>
    <w:rsid w:val="0003272B"/>
    <w:rsid w:val="00824502"/>
    <w:rsid w:val="008C2BA0"/>
    <w:rsid w:val="00FE1C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C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C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4754">
      <w:bodyDiv w:val="1"/>
      <w:marLeft w:val="0"/>
      <w:marRight w:val="0"/>
      <w:marTop w:val="0"/>
      <w:marBottom w:val="0"/>
      <w:divBdr>
        <w:top w:val="none" w:sz="0" w:space="0" w:color="auto"/>
        <w:left w:val="none" w:sz="0" w:space="0" w:color="auto"/>
        <w:bottom w:val="none" w:sz="0" w:space="0" w:color="auto"/>
        <w:right w:val="none" w:sz="0" w:space="0" w:color="auto"/>
      </w:divBdr>
      <w:divsChild>
        <w:div w:id="1591620307">
          <w:marLeft w:val="0"/>
          <w:marRight w:val="0"/>
          <w:marTop w:val="0"/>
          <w:marBottom w:val="0"/>
          <w:divBdr>
            <w:top w:val="none" w:sz="0" w:space="0" w:color="auto"/>
            <w:left w:val="none" w:sz="0" w:space="0" w:color="auto"/>
            <w:bottom w:val="none" w:sz="0" w:space="0" w:color="auto"/>
            <w:right w:val="none" w:sz="0" w:space="0" w:color="auto"/>
          </w:divBdr>
        </w:div>
        <w:div w:id="1414666266">
          <w:marLeft w:val="0"/>
          <w:marRight w:val="0"/>
          <w:marTop w:val="0"/>
          <w:marBottom w:val="0"/>
          <w:divBdr>
            <w:top w:val="none" w:sz="0" w:space="0" w:color="auto"/>
            <w:left w:val="none" w:sz="0" w:space="0" w:color="auto"/>
            <w:bottom w:val="none" w:sz="0" w:space="0" w:color="auto"/>
            <w:right w:val="none" w:sz="0" w:space="0" w:color="auto"/>
          </w:divBdr>
        </w:div>
        <w:div w:id="436946889">
          <w:marLeft w:val="0"/>
          <w:marRight w:val="0"/>
          <w:marTop w:val="0"/>
          <w:marBottom w:val="0"/>
          <w:divBdr>
            <w:top w:val="none" w:sz="0" w:space="0" w:color="auto"/>
            <w:left w:val="none" w:sz="0" w:space="0" w:color="auto"/>
            <w:bottom w:val="none" w:sz="0" w:space="0" w:color="auto"/>
            <w:right w:val="none" w:sz="0" w:space="0" w:color="auto"/>
          </w:divBdr>
        </w:div>
        <w:div w:id="110363817">
          <w:marLeft w:val="0"/>
          <w:marRight w:val="0"/>
          <w:marTop w:val="0"/>
          <w:marBottom w:val="0"/>
          <w:divBdr>
            <w:top w:val="none" w:sz="0" w:space="0" w:color="auto"/>
            <w:left w:val="none" w:sz="0" w:space="0" w:color="auto"/>
            <w:bottom w:val="none" w:sz="0" w:space="0" w:color="auto"/>
            <w:right w:val="none" w:sz="0" w:space="0" w:color="auto"/>
          </w:divBdr>
        </w:div>
        <w:div w:id="1655335497">
          <w:marLeft w:val="0"/>
          <w:marRight w:val="0"/>
          <w:marTop w:val="0"/>
          <w:marBottom w:val="0"/>
          <w:divBdr>
            <w:top w:val="none" w:sz="0" w:space="0" w:color="auto"/>
            <w:left w:val="none" w:sz="0" w:space="0" w:color="auto"/>
            <w:bottom w:val="none" w:sz="0" w:space="0" w:color="auto"/>
            <w:right w:val="none" w:sz="0" w:space="0" w:color="auto"/>
          </w:divBdr>
        </w:div>
        <w:div w:id="408621773">
          <w:marLeft w:val="0"/>
          <w:marRight w:val="0"/>
          <w:marTop w:val="0"/>
          <w:marBottom w:val="0"/>
          <w:divBdr>
            <w:top w:val="none" w:sz="0" w:space="0" w:color="auto"/>
            <w:left w:val="none" w:sz="0" w:space="0" w:color="auto"/>
            <w:bottom w:val="none" w:sz="0" w:space="0" w:color="auto"/>
            <w:right w:val="none" w:sz="0" w:space="0" w:color="auto"/>
          </w:divBdr>
        </w:div>
        <w:div w:id="1310941056">
          <w:marLeft w:val="0"/>
          <w:marRight w:val="0"/>
          <w:marTop w:val="0"/>
          <w:marBottom w:val="0"/>
          <w:divBdr>
            <w:top w:val="none" w:sz="0" w:space="0" w:color="auto"/>
            <w:left w:val="none" w:sz="0" w:space="0" w:color="auto"/>
            <w:bottom w:val="none" w:sz="0" w:space="0" w:color="auto"/>
            <w:right w:val="none" w:sz="0" w:space="0" w:color="auto"/>
          </w:divBdr>
        </w:div>
        <w:div w:id="1709523226">
          <w:marLeft w:val="0"/>
          <w:marRight w:val="0"/>
          <w:marTop w:val="0"/>
          <w:marBottom w:val="0"/>
          <w:divBdr>
            <w:top w:val="none" w:sz="0" w:space="0" w:color="auto"/>
            <w:left w:val="none" w:sz="0" w:space="0" w:color="auto"/>
            <w:bottom w:val="none" w:sz="0" w:space="0" w:color="auto"/>
            <w:right w:val="none" w:sz="0" w:space="0" w:color="auto"/>
          </w:divBdr>
        </w:div>
        <w:div w:id="489640013">
          <w:marLeft w:val="0"/>
          <w:marRight w:val="0"/>
          <w:marTop w:val="0"/>
          <w:marBottom w:val="0"/>
          <w:divBdr>
            <w:top w:val="none" w:sz="0" w:space="0" w:color="auto"/>
            <w:left w:val="none" w:sz="0" w:space="0" w:color="auto"/>
            <w:bottom w:val="none" w:sz="0" w:space="0" w:color="auto"/>
            <w:right w:val="none" w:sz="0" w:space="0" w:color="auto"/>
          </w:divBdr>
        </w:div>
        <w:div w:id="1018195434">
          <w:marLeft w:val="0"/>
          <w:marRight w:val="0"/>
          <w:marTop w:val="0"/>
          <w:marBottom w:val="0"/>
          <w:divBdr>
            <w:top w:val="none" w:sz="0" w:space="0" w:color="auto"/>
            <w:left w:val="none" w:sz="0" w:space="0" w:color="auto"/>
            <w:bottom w:val="none" w:sz="0" w:space="0" w:color="auto"/>
            <w:right w:val="none" w:sz="0" w:space="0" w:color="auto"/>
          </w:divBdr>
        </w:div>
        <w:div w:id="1292903286">
          <w:marLeft w:val="0"/>
          <w:marRight w:val="0"/>
          <w:marTop w:val="0"/>
          <w:marBottom w:val="0"/>
          <w:divBdr>
            <w:top w:val="none" w:sz="0" w:space="0" w:color="auto"/>
            <w:left w:val="none" w:sz="0" w:space="0" w:color="auto"/>
            <w:bottom w:val="none" w:sz="0" w:space="0" w:color="auto"/>
            <w:right w:val="none" w:sz="0" w:space="0" w:color="auto"/>
          </w:divBdr>
        </w:div>
        <w:div w:id="1955163887">
          <w:marLeft w:val="0"/>
          <w:marRight w:val="0"/>
          <w:marTop w:val="0"/>
          <w:marBottom w:val="0"/>
          <w:divBdr>
            <w:top w:val="none" w:sz="0" w:space="0" w:color="auto"/>
            <w:left w:val="none" w:sz="0" w:space="0" w:color="auto"/>
            <w:bottom w:val="none" w:sz="0" w:space="0" w:color="auto"/>
            <w:right w:val="none" w:sz="0" w:space="0" w:color="auto"/>
          </w:divBdr>
        </w:div>
      </w:divsChild>
    </w:div>
    <w:div w:id="840856900">
      <w:bodyDiv w:val="1"/>
      <w:marLeft w:val="0"/>
      <w:marRight w:val="0"/>
      <w:marTop w:val="0"/>
      <w:marBottom w:val="0"/>
      <w:divBdr>
        <w:top w:val="none" w:sz="0" w:space="0" w:color="auto"/>
        <w:left w:val="none" w:sz="0" w:space="0" w:color="auto"/>
        <w:bottom w:val="none" w:sz="0" w:space="0" w:color="auto"/>
        <w:right w:val="none" w:sz="0" w:space="0" w:color="auto"/>
      </w:divBdr>
      <w:divsChild>
        <w:div w:id="220554939">
          <w:marLeft w:val="0"/>
          <w:marRight w:val="0"/>
          <w:marTop w:val="0"/>
          <w:marBottom w:val="0"/>
          <w:divBdr>
            <w:top w:val="none" w:sz="0" w:space="0" w:color="auto"/>
            <w:left w:val="none" w:sz="0" w:space="0" w:color="auto"/>
            <w:bottom w:val="none" w:sz="0" w:space="0" w:color="auto"/>
            <w:right w:val="none" w:sz="0" w:space="0" w:color="auto"/>
          </w:divBdr>
        </w:div>
        <w:div w:id="1054238653">
          <w:marLeft w:val="0"/>
          <w:marRight w:val="0"/>
          <w:marTop w:val="0"/>
          <w:marBottom w:val="0"/>
          <w:divBdr>
            <w:top w:val="none" w:sz="0" w:space="0" w:color="auto"/>
            <w:left w:val="none" w:sz="0" w:space="0" w:color="auto"/>
            <w:bottom w:val="none" w:sz="0" w:space="0" w:color="auto"/>
            <w:right w:val="none" w:sz="0" w:space="0" w:color="auto"/>
          </w:divBdr>
        </w:div>
        <w:div w:id="1820877288">
          <w:marLeft w:val="0"/>
          <w:marRight w:val="0"/>
          <w:marTop w:val="0"/>
          <w:marBottom w:val="0"/>
          <w:divBdr>
            <w:top w:val="none" w:sz="0" w:space="0" w:color="auto"/>
            <w:left w:val="none" w:sz="0" w:space="0" w:color="auto"/>
            <w:bottom w:val="none" w:sz="0" w:space="0" w:color="auto"/>
            <w:right w:val="none" w:sz="0" w:space="0" w:color="auto"/>
          </w:divBdr>
        </w:div>
        <w:div w:id="586503044">
          <w:marLeft w:val="0"/>
          <w:marRight w:val="0"/>
          <w:marTop w:val="0"/>
          <w:marBottom w:val="0"/>
          <w:divBdr>
            <w:top w:val="none" w:sz="0" w:space="0" w:color="auto"/>
            <w:left w:val="none" w:sz="0" w:space="0" w:color="auto"/>
            <w:bottom w:val="none" w:sz="0" w:space="0" w:color="auto"/>
            <w:right w:val="none" w:sz="0" w:space="0" w:color="auto"/>
          </w:divBdr>
        </w:div>
        <w:div w:id="360515931">
          <w:marLeft w:val="0"/>
          <w:marRight w:val="0"/>
          <w:marTop w:val="0"/>
          <w:marBottom w:val="0"/>
          <w:divBdr>
            <w:top w:val="none" w:sz="0" w:space="0" w:color="auto"/>
            <w:left w:val="none" w:sz="0" w:space="0" w:color="auto"/>
            <w:bottom w:val="none" w:sz="0" w:space="0" w:color="auto"/>
            <w:right w:val="none" w:sz="0" w:space="0" w:color="auto"/>
          </w:divBdr>
        </w:div>
        <w:div w:id="2123375047">
          <w:marLeft w:val="0"/>
          <w:marRight w:val="0"/>
          <w:marTop w:val="0"/>
          <w:marBottom w:val="0"/>
          <w:divBdr>
            <w:top w:val="none" w:sz="0" w:space="0" w:color="auto"/>
            <w:left w:val="none" w:sz="0" w:space="0" w:color="auto"/>
            <w:bottom w:val="none" w:sz="0" w:space="0" w:color="auto"/>
            <w:right w:val="none" w:sz="0" w:space="0" w:color="auto"/>
          </w:divBdr>
        </w:div>
        <w:div w:id="1734693162">
          <w:marLeft w:val="0"/>
          <w:marRight w:val="0"/>
          <w:marTop w:val="0"/>
          <w:marBottom w:val="0"/>
          <w:divBdr>
            <w:top w:val="none" w:sz="0" w:space="0" w:color="auto"/>
            <w:left w:val="none" w:sz="0" w:space="0" w:color="auto"/>
            <w:bottom w:val="none" w:sz="0" w:space="0" w:color="auto"/>
            <w:right w:val="none" w:sz="0" w:space="0" w:color="auto"/>
          </w:divBdr>
        </w:div>
        <w:div w:id="1346664829">
          <w:marLeft w:val="0"/>
          <w:marRight w:val="0"/>
          <w:marTop w:val="0"/>
          <w:marBottom w:val="0"/>
          <w:divBdr>
            <w:top w:val="none" w:sz="0" w:space="0" w:color="auto"/>
            <w:left w:val="none" w:sz="0" w:space="0" w:color="auto"/>
            <w:bottom w:val="none" w:sz="0" w:space="0" w:color="auto"/>
            <w:right w:val="none" w:sz="0" w:space="0" w:color="auto"/>
          </w:divBdr>
        </w:div>
        <w:div w:id="1636259077">
          <w:marLeft w:val="0"/>
          <w:marRight w:val="0"/>
          <w:marTop w:val="0"/>
          <w:marBottom w:val="0"/>
          <w:divBdr>
            <w:top w:val="none" w:sz="0" w:space="0" w:color="auto"/>
            <w:left w:val="none" w:sz="0" w:space="0" w:color="auto"/>
            <w:bottom w:val="none" w:sz="0" w:space="0" w:color="auto"/>
            <w:right w:val="none" w:sz="0" w:space="0" w:color="auto"/>
          </w:divBdr>
        </w:div>
        <w:div w:id="1004090595">
          <w:marLeft w:val="0"/>
          <w:marRight w:val="0"/>
          <w:marTop w:val="0"/>
          <w:marBottom w:val="0"/>
          <w:divBdr>
            <w:top w:val="none" w:sz="0" w:space="0" w:color="auto"/>
            <w:left w:val="none" w:sz="0" w:space="0" w:color="auto"/>
            <w:bottom w:val="none" w:sz="0" w:space="0" w:color="auto"/>
            <w:right w:val="none" w:sz="0" w:space="0" w:color="auto"/>
          </w:divBdr>
        </w:div>
        <w:div w:id="160631112">
          <w:marLeft w:val="0"/>
          <w:marRight w:val="0"/>
          <w:marTop w:val="0"/>
          <w:marBottom w:val="0"/>
          <w:divBdr>
            <w:top w:val="none" w:sz="0" w:space="0" w:color="auto"/>
            <w:left w:val="none" w:sz="0" w:space="0" w:color="auto"/>
            <w:bottom w:val="none" w:sz="0" w:space="0" w:color="auto"/>
            <w:right w:val="none" w:sz="0" w:space="0" w:color="auto"/>
          </w:divBdr>
        </w:div>
        <w:div w:id="352346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2020-04-26T11:48:00Z</dcterms:created>
  <dcterms:modified xsi:type="dcterms:W3CDTF">2020-04-26T11:49:00Z</dcterms:modified>
</cp:coreProperties>
</file>