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F9C" w:rsidRPr="00446F9C" w:rsidRDefault="00446F9C" w:rsidP="00446F9C">
      <w:pPr>
        <w:jc w:val="center"/>
        <w:rPr>
          <w:sz w:val="32"/>
          <w:szCs w:val="32"/>
        </w:rPr>
      </w:pPr>
      <w:bookmarkStart w:id="0" w:name="Anchor1"/>
      <w:bookmarkEnd w:id="0"/>
      <w:r w:rsidRPr="00446F9C">
        <w:rPr>
          <w:sz w:val="32"/>
          <w:szCs w:val="32"/>
          <w:rtl/>
        </w:rPr>
        <w:t>الطعن ر</w:t>
      </w:r>
      <w:bookmarkStart w:id="1" w:name="_GoBack"/>
      <w:bookmarkEnd w:id="1"/>
      <w:r w:rsidRPr="00446F9C">
        <w:rPr>
          <w:sz w:val="32"/>
          <w:szCs w:val="32"/>
          <w:rtl/>
        </w:rPr>
        <w:t xml:space="preserve">قم </w:t>
      </w:r>
      <w:r w:rsidRPr="00446F9C">
        <w:rPr>
          <w:sz w:val="32"/>
          <w:szCs w:val="32"/>
        </w:rPr>
        <w:t>230/2013</w:t>
      </w:r>
    </w:p>
    <w:p w:rsidR="00446F9C" w:rsidRPr="00446F9C" w:rsidRDefault="00446F9C" w:rsidP="00446F9C">
      <w:pPr>
        <w:rPr>
          <w:sz w:val="32"/>
          <w:szCs w:val="32"/>
        </w:rPr>
      </w:pPr>
      <w:bookmarkStart w:id="2" w:name="Anchor7"/>
      <w:bookmarkEnd w:id="2"/>
      <w:r w:rsidRPr="00446F9C">
        <w:rPr>
          <w:sz w:val="32"/>
          <w:szCs w:val="32"/>
          <w:rtl/>
        </w:rPr>
        <w:t>هيئة المحكمة</w:t>
      </w:r>
      <w:r w:rsidRPr="00446F9C">
        <w:rPr>
          <w:sz w:val="32"/>
          <w:szCs w:val="32"/>
        </w:rPr>
        <w:t xml:space="preserve">: </w:t>
      </w:r>
      <w:r w:rsidRPr="00446F9C">
        <w:rPr>
          <w:sz w:val="32"/>
          <w:szCs w:val="32"/>
          <w:rtl/>
        </w:rPr>
        <w:t>برئاسة السيد المستشار محمود التركاوي وكيل المحكمة وعضوية السادة المستشارين عبد الرحمن مطاوع وهشام فراويله وضياء الدين أبو الحسن وعطيه النادي</w:t>
      </w:r>
    </w:p>
    <w:bookmarkStart w:id="3" w:name="Anchor27"/>
    <w:bookmarkEnd w:id="3"/>
    <w:p w:rsidR="00446F9C" w:rsidRPr="00446F9C" w:rsidRDefault="00446F9C" w:rsidP="00446F9C">
      <w:pPr>
        <w:rPr>
          <w:sz w:val="32"/>
          <w:szCs w:val="32"/>
        </w:rPr>
      </w:pPr>
      <w:r w:rsidRPr="00446F9C">
        <w:rPr>
          <w:sz w:val="32"/>
          <w:szCs w:val="32"/>
        </w:rPr>
        <w:fldChar w:fldCharType="begin"/>
      </w:r>
      <w:r w:rsidRPr="00446F9C">
        <w:rPr>
          <w:sz w:val="32"/>
          <w:szCs w:val="32"/>
        </w:rPr>
        <w:instrText xml:space="preserve"> HYPERLINK "http://www.law.gov.kw/KWT_CC-Ar/00_2014/00_%D8%A7%D9%84%D8%AF%D8%A7%D8%A6%D8%B1%D8%A9%20%D8%A7%D9%84%D8%AA%D8%AC%D8%A7%D8%B1%D9%8A%D8%A9/KWT-CC-Ar_2014-09-29_00230_Taan.html" \l "TM2014_230_1" </w:instrText>
      </w:r>
      <w:r w:rsidRPr="00446F9C">
        <w:rPr>
          <w:sz w:val="32"/>
          <w:szCs w:val="32"/>
        </w:rPr>
        <w:fldChar w:fldCharType="separate"/>
      </w:r>
      <w:r w:rsidRPr="00446F9C">
        <w:rPr>
          <w:rStyle w:val="Hyperlink"/>
          <w:sz w:val="32"/>
          <w:szCs w:val="32"/>
        </w:rPr>
        <w:t xml:space="preserve">1- </w:t>
      </w:r>
      <w:r w:rsidRPr="00446F9C">
        <w:rPr>
          <w:rStyle w:val="Hyperlink"/>
          <w:sz w:val="32"/>
          <w:szCs w:val="32"/>
          <w:rtl/>
        </w:rPr>
        <w:t>ان لمحكمة الموضوع السلطة في فهم الواقع في الدعوى وبحث الدلائل والمستندات المقدمة اليها وموازنة بعضها بالبعض الآخر وترجيح ما تطمئن اليه وإطراح ما عداه متى كان استخلاصها سائغاً واقامت قضاءها على اسباب سائغة لها اصلها في الأوراق</w:t>
      </w:r>
      <w:r w:rsidRPr="00446F9C">
        <w:rPr>
          <w:rStyle w:val="Hyperlink"/>
          <w:sz w:val="32"/>
          <w:szCs w:val="32"/>
        </w:rPr>
        <w:t>.</w:t>
      </w:r>
      <w:r w:rsidRPr="00446F9C">
        <w:rPr>
          <w:sz w:val="32"/>
          <w:szCs w:val="32"/>
        </w:rPr>
        <w:fldChar w:fldCharType="end"/>
      </w:r>
    </w:p>
    <w:bookmarkStart w:id="4" w:name="Anchor51"/>
    <w:bookmarkEnd w:id="4"/>
    <w:p w:rsidR="00446F9C" w:rsidRPr="00446F9C" w:rsidRDefault="00446F9C" w:rsidP="00446F9C">
      <w:pPr>
        <w:rPr>
          <w:sz w:val="32"/>
          <w:szCs w:val="32"/>
        </w:rPr>
      </w:pPr>
      <w:r w:rsidRPr="00446F9C">
        <w:rPr>
          <w:sz w:val="32"/>
          <w:szCs w:val="32"/>
        </w:rPr>
        <w:fldChar w:fldCharType="begin"/>
      </w:r>
      <w:r w:rsidRPr="00446F9C">
        <w:rPr>
          <w:sz w:val="32"/>
          <w:szCs w:val="32"/>
        </w:rPr>
        <w:instrText xml:space="preserve"> HYPERLINK "http://www.law.gov.kw/KWT_CC-Ar/00_2014/00_%D8%A7%D9%84%D8%AF%D8%A7%D8%A6%D8%B1%D8%A9%20%D8%A7%D9%84%D8%AA%D8%AC%D8%A7%D8%B1%D9%8A%D8%A9/KWT-CC-Ar_2014-09-29_00230_Taan.html" \l "TM2014_230_3" </w:instrText>
      </w:r>
      <w:r w:rsidRPr="00446F9C">
        <w:rPr>
          <w:sz w:val="32"/>
          <w:szCs w:val="32"/>
        </w:rPr>
        <w:fldChar w:fldCharType="separate"/>
      </w:r>
      <w:r w:rsidRPr="00446F9C">
        <w:rPr>
          <w:rStyle w:val="Hyperlink"/>
          <w:sz w:val="32"/>
          <w:szCs w:val="32"/>
        </w:rPr>
        <w:t xml:space="preserve">2- </w:t>
      </w:r>
      <w:r w:rsidRPr="00446F9C">
        <w:rPr>
          <w:rStyle w:val="Hyperlink"/>
          <w:sz w:val="32"/>
          <w:szCs w:val="32"/>
          <w:rtl/>
        </w:rPr>
        <w:t>ان لمحكمة الموضوع السلطة في تفسير العقود والمحررات والإتفاقات التي تقدم اليها واستخلاص ما تراه اوفى الى مقصود المتعاقدين فيها مستندة في ذلك على وقائع الدعوى وظروفها دون معقب عليها ما دام استخلاصها لها سائغاً وله سنده في الأوراق</w:t>
      </w:r>
      <w:r w:rsidRPr="00446F9C">
        <w:rPr>
          <w:rStyle w:val="Hyperlink"/>
          <w:sz w:val="32"/>
          <w:szCs w:val="32"/>
        </w:rPr>
        <w:t>.</w:t>
      </w:r>
      <w:r w:rsidRPr="00446F9C">
        <w:rPr>
          <w:sz w:val="32"/>
          <w:szCs w:val="32"/>
        </w:rPr>
        <w:fldChar w:fldCharType="end"/>
      </w:r>
      <w:r w:rsidRPr="00446F9C">
        <w:rPr>
          <w:sz w:val="32"/>
          <w:szCs w:val="32"/>
        </w:rPr>
        <w:br/>
      </w:r>
      <w:r w:rsidRPr="00446F9C">
        <w:rPr>
          <w:sz w:val="32"/>
          <w:szCs w:val="32"/>
        </w:rPr>
        <w:br/>
      </w:r>
      <w:r w:rsidRPr="00446F9C">
        <w:rPr>
          <w:sz w:val="32"/>
          <w:szCs w:val="32"/>
          <w:u w:val="single"/>
          <w:rtl/>
        </w:rPr>
        <w:t>ملاحظة</w:t>
      </w:r>
      <w:r w:rsidRPr="00446F9C">
        <w:rPr>
          <w:sz w:val="32"/>
          <w:szCs w:val="32"/>
          <w:u w:val="single"/>
        </w:rPr>
        <w:t xml:space="preserve"> :</w:t>
      </w:r>
      <w:r w:rsidRPr="00446F9C">
        <w:rPr>
          <w:sz w:val="32"/>
          <w:szCs w:val="32"/>
        </w:rPr>
        <w:br/>
      </w:r>
      <w:r w:rsidRPr="00446F9C">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46F9C" w:rsidRPr="00446F9C" w:rsidRDefault="00446F9C" w:rsidP="00446F9C">
      <w:pPr>
        <w:rPr>
          <w:sz w:val="32"/>
          <w:szCs w:val="32"/>
        </w:rPr>
      </w:pPr>
      <w:bookmarkStart w:id="5" w:name="Anchor75"/>
      <w:bookmarkEnd w:id="5"/>
      <w:r w:rsidRPr="00446F9C">
        <w:rPr>
          <w:b/>
          <w:bCs/>
          <w:sz w:val="32"/>
          <w:szCs w:val="32"/>
          <w:rtl/>
        </w:rPr>
        <w:t>المحكمة</w:t>
      </w:r>
    </w:p>
    <w:p w:rsidR="00446F9C" w:rsidRPr="00446F9C" w:rsidRDefault="00446F9C" w:rsidP="00446F9C">
      <w:pPr>
        <w:rPr>
          <w:sz w:val="32"/>
          <w:szCs w:val="32"/>
        </w:rPr>
      </w:pPr>
      <w:bookmarkStart w:id="6" w:name="Anchor76"/>
      <w:bookmarkEnd w:id="6"/>
      <w:r w:rsidRPr="00446F9C">
        <w:rPr>
          <w:sz w:val="32"/>
          <w:szCs w:val="32"/>
          <w:rtl/>
        </w:rPr>
        <w:t>بعد الاطلاع على الأوراق، والمداولة</w:t>
      </w:r>
      <w:r w:rsidRPr="00446F9C">
        <w:rPr>
          <w:sz w:val="32"/>
          <w:szCs w:val="32"/>
        </w:rPr>
        <w:t>.</w:t>
      </w:r>
    </w:p>
    <w:p w:rsidR="00446F9C" w:rsidRPr="00446F9C" w:rsidRDefault="00446F9C" w:rsidP="00446F9C">
      <w:pPr>
        <w:rPr>
          <w:sz w:val="32"/>
          <w:szCs w:val="32"/>
        </w:rPr>
      </w:pPr>
      <w:bookmarkStart w:id="7" w:name="Anchor80"/>
      <w:bookmarkStart w:id="8" w:name="TM2014_230_1"/>
      <w:bookmarkEnd w:id="7"/>
      <w:bookmarkEnd w:id="8"/>
      <w:r w:rsidRPr="00446F9C">
        <w:rPr>
          <w:b/>
          <w:bCs/>
          <w:sz w:val="32"/>
          <w:szCs w:val="32"/>
          <w:rtl/>
        </w:rPr>
        <w:t xml:space="preserve">لما كان من المقرر أن لمحكمة الموضوع سلطة فهم الواقع في الدعوى وبحث الدلائل والمستندات المقدمة إليها وموازنة بعضها بالبعض الآخر وترجيح ما تطمئن إليه وإطراح ما عداه ولو كان محتملاً متى كان استخلاصها سائغاً وأقامت قضاءها على أسباب مستمدة من الأوراق </w:t>
      </w:r>
      <w:r w:rsidRPr="00446F9C">
        <w:rPr>
          <w:sz w:val="32"/>
          <w:szCs w:val="32"/>
          <w:rtl/>
        </w:rPr>
        <w:t xml:space="preserve">وتؤدي إلي النتيجة التي انتهت إليها كما </w:t>
      </w:r>
      <w:bookmarkStart w:id="9" w:name="TM2014_230_3"/>
      <w:bookmarkEnd w:id="9"/>
      <w:r w:rsidRPr="00446F9C">
        <w:rPr>
          <w:b/>
          <w:bCs/>
          <w:sz w:val="32"/>
          <w:szCs w:val="32"/>
          <w:rtl/>
        </w:rPr>
        <w:t>أن لها كامل السطلة في تفسير العقود والمحررات والاتفاقات التي تقدم إليها واستخلاص ما تراه أوفى إلي مقصود المتعاقدين فيها مستنده في ذاك لوقائع الدعوى وظروفها ولا رقابة لمحكمة التمييز عليها فيما تراه بهذا الشأن ما دام أن استخلاصها سائغاً وله سنده من الأوراق،</w:t>
      </w:r>
      <w:r w:rsidRPr="00446F9C">
        <w:rPr>
          <w:sz w:val="32"/>
          <w:szCs w:val="32"/>
          <w:rtl/>
        </w:rPr>
        <w:t xml:space="preserve"> وإنه لا على محكمة الاستئناف أن هي أيدت الحكم المستأنف أن تأخذ بأسبابه دون إضافة متى رأت في هذه الأسباب ما يغني عن إيراد جديد فإنه لا يعيب الحكم المطعون فيه تريده لأسباب محكمة أول درجة والأخذ بها متى كانت كافية لحمل قضائه وكان الحكم الابتدائي المؤيد بالحكم </w:t>
      </w:r>
      <w:r w:rsidRPr="00446F9C">
        <w:rPr>
          <w:sz w:val="32"/>
          <w:szCs w:val="32"/>
          <w:rtl/>
        </w:rPr>
        <w:lastRenderedPageBreak/>
        <w:t xml:space="preserve">المطعون فيه قد أقام قضاءه برفض الدعوى على ما استخلصه من انشغال ذمة الطاعنة </w:t>
      </w:r>
      <w:r w:rsidRPr="00446F9C">
        <w:rPr>
          <w:sz w:val="32"/>
          <w:szCs w:val="32"/>
        </w:rPr>
        <w:t xml:space="preserve">– </w:t>
      </w:r>
      <w:r w:rsidRPr="00446F9C">
        <w:rPr>
          <w:sz w:val="32"/>
          <w:szCs w:val="32"/>
          <w:rtl/>
        </w:rPr>
        <w:t xml:space="preserve">بالمبالغ الواردة بعقد الصلح المؤرخ </w:t>
      </w:r>
      <w:r w:rsidRPr="00446F9C">
        <w:rPr>
          <w:sz w:val="32"/>
          <w:szCs w:val="32"/>
        </w:rPr>
        <w:t xml:space="preserve">2010/1/24 </w:t>
      </w:r>
      <w:r w:rsidRPr="00446F9C">
        <w:rPr>
          <w:sz w:val="32"/>
          <w:szCs w:val="32"/>
          <w:rtl/>
        </w:rPr>
        <w:t>وأن إرادتهما قد اتجهت إلي الأثر المترتب عليه وهو التزام الشركة الطاعنة بالمبالغ الواردة به وتراضيا على هذه المبالغ وعلى أن تؤديها الطاعنة للمطعون ضدها الأولى على الوجه المبين بذلك العقد وكانت الطاعنة لم تقدم بالأوراق ما يفيد وفائها بقيمة هذه المبالغ التي تم الصلح بشأنها بما لا يبرئ ذمتها من هذه المبالغ ولا ينال من ذلك ما ركنت إليه الطاعنة من براءة ذمتها من وفائها بمبلغ 150000 د.ك المثبت بالشيك الصادر عنها لحساب المطعون ضدها الأولى إذ أن المتفق عليه بالعقد سالف الذكر قد تضمن مبالغ لم تقدم الطاعنة بإقامة الدليل على وفائها بها ومنها قيمة محجوز الضمان الوارد بالبند الرابع من العقد سالف البيان ورتب على ما تقدم وفي ضوء تفسيره لبنود عقد الصلح المبرم بين الطرفين قضاءه برفض دعوى الطاعنة وكان ما أورده الحكم الابتدائي المؤيد بالحكم المطعون فيه في حدود سلطته الموضوعية في تفسير العقود واستظهار النية المشتركة للعاقدين وتحديد نطاق النزاع الذي أراد وضع حداً له بالتصالح عليه سائغاً ولا مخالفة فيه للثابت بالأوراق انشغال ذمة الطاعنة بالمبالغ الواردة بعقد التصالح المؤرخ 2010/1/24 بما لا يبرئ ذمتها قبل المطعون ضدها الأولى ومن ثم فإن النعي بأسباب الطعن لا يعدو أ، يكون جدلاً فيما لمحكمة الموضوع من سلطة تقديره لا تجوز إثارته أمام هذه المحكمة ويضحى الطعن مقاماً على غير الأسباب المبينة بالمادة 1525 من قانون المرافعات متعيناً عدم قبوله عملاً بالمادة 154/5 من ذات القانون</w:t>
      </w:r>
      <w:r w:rsidRPr="00446F9C">
        <w:rPr>
          <w:sz w:val="32"/>
          <w:szCs w:val="32"/>
        </w:rPr>
        <w:t>.</w:t>
      </w:r>
    </w:p>
    <w:p w:rsidR="00446F9C" w:rsidRPr="00446F9C" w:rsidRDefault="00446F9C" w:rsidP="00446F9C">
      <w:pPr>
        <w:rPr>
          <w:sz w:val="32"/>
          <w:szCs w:val="32"/>
        </w:rPr>
      </w:pPr>
      <w:bookmarkStart w:id="10" w:name="Anchor288"/>
      <w:bookmarkEnd w:id="10"/>
      <w:r w:rsidRPr="00446F9C">
        <w:rPr>
          <w:sz w:val="32"/>
          <w:szCs w:val="32"/>
          <w:rtl/>
        </w:rPr>
        <w:t>لذلك</w:t>
      </w:r>
    </w:p>
    <w:p w:rsidR="00446F9C" w:rsidRPr="00446F9C" w:rsidRDefault="00446F9C" w:rsidP="00446F9C">
      <w:pPr>
        <w:rPr>
          <w:sz w:val="32"/>
          <w:szCs w:val="32"/>
        </w:rPr>
      </w:pPr>
      <w:bookmarkStart w:id="11" w:name="Anchor289"/>
      <w:bookmarkEnd w:id="11"/>
      <w:r w:rsidRPr="00446F9C">
        <w:rPr>
          <w:sz w:val="32"/>
          <w:szCs w:val="32"/>
          <w:rtl/>
        </w:rPr>
        <w:t xml:space="preserve">قررت المحكمة </w:t>
      </w:r>
      <w:r w:rsidRPr="00446F9C">
        <w:rPr>
          <w:sz w:val="32"/>
          <w:szCs w:val="32"/>
        </w:rPr>
        <w:t xml:space="preserve">– </w:t>
      </w:r>
      <w:r w:rsidRPr="00446F9C">
        <w:rPr>
          <w:sz w:val="32"/>
          <w:szCs w:val="32"/>
          <w:rtl/>
        </w:rPr>
        <w:t>في غرفة مشورة</w:t>
      </w:r>
      <w:r w:rsidRPr="00446F9C">
        <w:rPr>
          <w:sz w:val="32"/>
          <w:szCs w:val="32"/>
        </w:rPr>
        <w:t xml:space="preserve">- </w:t>
      </w:r>
      <w:r w:rsidRPr="00446F9C">
        <w:rPr>
          <w:sz w:val="32"/>
          <w:szCs w:val="32"/>
          <w:rtl/>
        </w:rPr>
        <w:t>عدم قبول الطعن وألزمت الشركة الطاعنة المصروفات مع مصادرة الكفالة</w:t>
      </w:r>
      <w:r w:rsidRPr="00446F9C">
        <w:rPr>
          <w:sz w:val="32"/>
          <w:szCs w:val="32"/>
        </w:rPr>
        <w:t>.</w:t>
      </w:r>
    </w:p>
    <w:p w:rsidR="00446F9C" w:rsidRPr="00446F9C" w:rsidRDefault="00446F9C" w:rsidP="00446F9C">
      <w:pPr>
        <w:rPr>
          <w:sz w:val="32"/>
          <w:szCs w:val="32"/>
        </w:rPr>
      </w:pPr>
    </w:p>
    <w:p w:rsidR="00446F9C" w:rsidRPr="00446F9C" w:rsidRDefault="00446F9C" w:rsidP="00446F9C">
      <w:pPr>
        <w:rPr>
          <w:sz w:val="32"/>
          <w:szCs w:val="32"/>
        </w:rPr>
      </w:pPr>
      <w:bookmarkStart w:id="12" w:name="Anchor302"/>
      <w:bookmarkEnd w:id="12"/>
      <w:r w:rsidRPr="00446F9C">
        <w:rPr>
          <w:sz w:val="32"/>
          <w:szCs w:val="32"/>
        </w:rPr>
        <w:t>* * *</w:t>
      </w:r>
    </w:p>
    <w:p w:rsidR="008C2BA0" w:rsidRPr="00446F9C" w:rsidRDefault="008C2BA0">
      <w:pPr>
        <w:rPr>
          <w:sz w:val="32"/>
          <w:szCs w:val="32"/>
        </w:rPr>
      </w:pPr>
    </w:p>
    <w:sectPr w:rsidR="008C2BA0" w:rsidRPr="00446F9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01"/>
    <w:rsid w:val="0003272B"/>
    <w:rsid w:val="00446F9C"/>
    <w:rsid w:val="007E2001"/>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F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F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97149">
      <w:bodyDiv w:val="1"/>
      <w:marLeft w:val="0"/>
      <w:marRight w:val="0"/>
      <w:marTop w:val="0"/>
      <w:marBottom w:val="0"/>
      <w:divBdr>
        <w:top w:val="none" w:sz="0" w:space="0" w:color="auto"/>
        <w:left w:val="none" w:sz="0" w:space="0" w:color="auto"/>
        <w:bottom w:val="none" w:sz="0" w:space="0" w:color="auto"/>
        <w:right w:val="none" w:sz="0" w:space="0" w:color="auto"/>
      </w:divBdr>
      <w:divsChild>
        <w:div w:id="1864397745">
          <w:marLeft w:val="0"/>
          <w:marRight w:val="0"/>
          <w:marTop w:val="0"/>
          <w:marBottom w:val="0"/>
          <w:divBdr>
            <w:top w:val="none" w:sz="0" w:space="0" w:color="auto"/>
            <w:left w:val="none" w:sz="0" w:space="0" w:color="auto"/>
            <w:bottom w:val="none" w:sz="0" w:space="0" w:color="auto"/>
            <w:right w:val="none" w:sz="0" w:space="0" w:color="auto"/>
          </w:divBdr>
        </w:div>
        <w:div w:id="1912890897">
          <w:marLeft w:val="0"/>
          <w:marRight w:val="0"/>
          <w:marTop w:val="0"/>
          <w:marBottom w:val="0"/>
          <w:divBdr>
            <w:top w:val="none" w:sz="0" w:space="0" w:color="auto"/>
            <w:left w:val="none" w:sz="0" w:space="0" w:color="auto"/>
            <w:bottom w:val="none" w:sz="0" w:space="0" w:color="auto"/>
            <w:right w:val="none" w:sz="0" w:space="0" w:color="auto"/>
          </w:divBdr>
        </w:div>
        <w:div w:id="1073821411">
          <w:marLeft w:val="0"/>
          <w:marRight w:val="0"/>
          <w:marTop w:val="0"/>
          <w:marBottom w:val="0"/>
          <w:divBdr>
            <w:top w:val="none" w:sz="0" w:space="0" w:color="auto"/>
            <w:left w:val="none" w:sz="0" w:space="0" w:color="auto"/>
            <w:bottom w:val="none" w:sz="0" w:space="0" w:color="auto"/>
            <w:right w:val="none" w:sz="0" w:space="0" w:color="auto"/>
          </w:divBdr>
        </w:div>
        <w:div w:id="1151749319">
          <w:marLeft w:val="0"/>
          <w:marRight w:val="0"/>
          <w:marTop w:val="0"/>
          <w:marBottom w:val="0"/>
          <w:divBdr>
            <w:top w:val="none" w:sz="0" w:space="0" w:color="auto"/>
            <w:left w:val="none" w:sz="0" w:space="0" w:color="auto"/>
            <w:bottom w:val="none" w:sz="0" w:space="0" w:color="auto"/>
            <w:right w:val="none" w:sz="0" w:space="0" w:color="auto"/>
          </w:divBdr>
        </w:div>
        <w:div w:id="395907005">
          <w:marLeft w:val="0"/>
          <w:marRight w:val="0"/>
          <w:marTop w:val="0"/>
          <w:marBottom w:val="0"/>
          <w:divBdr>
            <w:top w:val="none" w:sz="0" w:space="0" w:color="auto"/>
            <w:left w:val="none" w:sz="0" w:space="0" w:color="auto"/>
            <w:bottom w:val="none" w:sz="0" w:space="0" w:color="auto"/>
            <w:right w:val="none" w:sz="0" w:space="0" w:color="auto"/>
          </w:divBdr>
        </w:div>
        <w:div w:id="1604192211">
          <w:marLeft w:val="0"/>
          <w:marRight w:val="0"/>
          <w:marTop w:val="0"/>
          <w:marBottom w:val="0"/>
          <w:divBdr>
            <w:top w:val="none" w:sz="0" w:space="0" w:color="auto"/>
            <w:left w:val="none" w:sz="0" w:space="0" w:color="auto"/>
            <w:bottom w:val="none" w:sz="0" w:space="0" w:color="auto"/>
            <w:right w:val="none" w:sz="0" w:space="0" w:color="auto"/>
          </w:divBdr>
        </w:div>
        <w:div w:id="782766366">
          <w:marLeft w:val="0"/>
          <w:marRight w:val="0"/>
          <w:marTop w:val="0"/>
          <w:marBottom w:val="0"/>
          <w:divBdr>
            <w:top w:val="none" w:sz="0" w:space="0" w:color="auto"/>
            <w:left w:val="none" w:sz="0" w:space="0" w:color="auto"/>
            <w:bottom w:val="none" w:sz="0" w:space="0" w:color="auto"/>
            <w:right w:val="none" w:sz="0" w:space="0" w:color="auto"/>
          </w:divBdr>
        </w:div>
        <w:div w:id="723139314">
          <w:marLeft w:val="0"/>
          <w:marRight w:val="0"/>
          <w:marTop w:val="0"/>
          <w:marBottom w:val="0"/>
          <w:divBdr>
            <w:top w:val="none" w:sz="0" w:space="0" w:color="auto"/>
            <w:left w:val="none" w:sz="0" w:space="0" w:color="auto"/>
            <w:bottom w:val="none" w:sz="0" w:space="0" w:color="auto"/>
            <w:right w:val="none" w:sz="0" w:space="0" w:color="auto"/>
          </w:divBdr>
        </w:div>
        <w:div w:id="1733380657">
          <w:marLeft w:val="0"/>
          <w:marRight w:val="0"/>
          <w:marTop w:val="0"/>
          <w:marBottom w:val="0"/>
          <w:divBdr>
            <w:top w:val="none" w:sz="0" w:space="0" w:color="auto"/>
            <w:left w:val="none" w:sz="0" w:space="0" w:color="auto"/>
            <w:bottom w:val="none" w:sz="0" w:space="0" w:color="auto"/>
            <w:right w:val="none" w:sz="0" w:space="0" w:color="auto"/>
          </w:divBdr>
        </w:div>
        <w:div w:id="1326662948">
          <w:marLeft w:val="0"/>
          <w:marRight w:val="0"/>
          <w:marTop w:val="0"/>
          <w:marBottom w:val="0"/>
          <w:divBdr>
            <w:top w:val="none" w:sz="0" w:space="0" w:color="auto"/>
            <w:left w:val="none" w:sz="0" w:space="0" w:color="auto"/>
            <w:bottom w:val="none" w:sz="0" w:space="0" w:color="auto"/>
            <w:right w:val="none" w:sz="0" w:space="0" w:color="auto"/>
          </w:divBdr>
        </w:div>
      </w:divsChild>
    </w:div>
    <w:div w:id="516503722">
      <w:bodyDiv w:val="1"/>
      <w:marLeft w:val="0"/>
      <w:marRight w:val="0"/>
      <w:marTop w:val="0"/>
      <w:marBottom w:val="0"/>
      <w:divBdr>
        <w:top w:val="none" w:sz="0" w:space="0" w:color="auto"/>
        <w:left w:val="none" w:sz="0" w:space="0" w:color="auto"/>
        <w:bottom w:val="none" w:sz="0" w:space="0" w:color="auto"/>
        <w:right w:val="none" w:sz="0" w:space="0" w:color="auto"/>
      </w:divBdr>
      <w:divsChild>
        <w:div w:id="1666740546">
          <w:marLeft w:val="0"/>
          <w:marRight w:val="0"/>
          <w:marTop w:val="0"/>
          <w:marBottom w:val="0"/>
          <w:divBdr>
            <w:top w:val="none" w:sz="0" w:space="0" w:color="auto"/>
            <w:left w:val="none" w:sz="0" w:space="0" w:color="auto"/>
            <w:bottom w:val="none" w:sz="0" w:space="0" w:color="auto"/>
            <w:right w:val="none" w:sz="0" w:space="0" w:color="auto"/>
          </w:divBdr>
        </w:div>
        <w:div w:id="395007094">
          <w:marLeft w:val="0"/>
          <w:marRight w:val="0"/>
          <w:marTop w:val="0"/>
          <w:marBottom w:val="0"/>
          <w:divBdr>
            <w:top w:val="none" w:sz="0" w:space="0" w:color="auto"/>
            <w:left w:val="none" w:sz="0" w:space="0" w:color="auto"/>
            <w:bottom w:val="none" w:sz="0" w:space="0" w:color="auto"/>
            <w:right w:val="none" w:sz="0" w:space="0" w:color="auto"/>
          </w:divBdr>
        </w:div>
        <w:div w:id="1103184936">
          <w:marLeft w:val="0"/>
          <w:marRight w:val="0"/>
          <w:marTop w:val="0"/>
          <w:marBottom w:val="0"/>
          <w:divBdr>
            <w:top w:val="none" w:sz="0" w:space="0" w:color="auto"/>
            <w:left w:val="none" w:sz="0" w:space="0" w:color="auto"/>
            <w:bottom w:val="none" w:sz="0" w:space="0" w:color="auto"/>
            <w:right w:val="none" w:sz="0" w:space="0" w:color="auto"/>
          </w:divBdr>
        </w:div>
        <w:div w:id="1171528123">
          <w:marLeft w:val="0"/>
          <w:marRight w:val="0"/>
          <w:marTop w:val="0"/>
          <w:marBottom w:val="0"/>
          <w:divBdr>
            <w:top w:val="none" w:sz="0" w:space="0" w:color="auto"/>
            <w:left w:val="none" w:sz="0" w:space="0" w:color="auto"/>
            <w:bottom w:val="none" w:sz="0" w:space="0" w:color="auto"/>
            <w:right w:val="none" w:sz="0" w:space="0" w:color="auto"/>
          </w:divBdr>
        </w:div>
        <w:div w:id="589775153">
          <w:marLeft w:val="0"/>
          <w:marRight w:val="0"/>
          <w:marTop w:val="0"/>
          <w:marBottom w:val="0"/>
          <w:divBdr>
            <w:top w:val="none" w:sz="0" w:space="0" w:color="auto"/>
            <w:left w:val="none" w:sz="0" w:space="0" w:color="auto"/>
            <w:bottom w:val="none" w:sz="0" w:space="0" w:color="auto"/>
            <w:right w:val="none" w:sz="0" w:space="0" w:color="auto"/>
          </w:divBdr>
        </w:div>
        <w:div w:id="251624873">
          <w:marLeft w:val="0"/>
          <w:marRight w:val="0"/>
          <w:marTop w:val="0"/>
          <w:marBottom w:val="0"/>
          <w:divBdr>
            <w:top w:val="none" w:sz="0" w:space="0" w:color="auto"/>
            <w:left w:val="none" w:sz="0" w:space="0" w:color="auto"/>
            <w:bottom w:val="none" w:sz="0" w:space="0" w:color="auto"/>
            <w:right w:val="none" w:sz="0" w:space="0" w:color="auto"/>
          </w:divBdr>
        </w:div>
        <w:div w:id="1944654844">
          <w:marLeft w:val="0"/>
          <w:marRight w:val="0"/>
          <w:marTop w:val="0"/>
          <w:marBottom w:val="0"/>
          <w:divBdr>
            <w:top w:val="none" w:sz="0" w:space="0" w:color="auto"/>
            <w:left w:val="none" w:sz="0" w:space="0" w:color="auto"/>
            <w:bottom w:val="none" w:sz="0" w:space="0" w:color="auto"/>
            <w:right w:val="none" w:sz="0" w:space="0" w:color="auto"/>
          </w:divBdr>
        </w:div>
        <w:div w:id="1137145206">
          <w:marLeft w:val="0"/>
          <w:marRight w:val="0"/>
          <w:marTop w:val="0"/>
          <w:marBottom w:val="0"/>
          <w:divBdr>
            <w:top w:val="none" w:sz="0" w:space="0" w:color="auto"/>
            <w:left w:val="none" w:sz="0" w:space="0" w:color="auto"/>
            <w:bottom w:val="none" w:sz="0" w:space="0" w:color="auto"/>
            <w:right w:val="none" w:sz="0" w:space="0" w:color="auto"/>
          </w:divBdr>
        </w:div>
        <w:div w:id="1396464293">
          <w:marLeft w:val="0"/>
          <w:marRight w:val="0"/>
          <w:marTop w:val="0"/>
          <w:marBottom w:val="0"/>
          <w:divBdr>
            <w:top w:val="none" w:sz="0" w:space="0" w:color="auto"/>
            <w:left w:val="none" w:sz="0" w:space="0" w:color="auto"/>
            <w:bottom w:val="none" w:sz="0" w:space="0" w:color="auto"/>
            <w:right w:val="none" w:sz="0" w:space="0" w:color="auto"/>
          </w:divBdr>
        </w:div>
        <w:div w:id="12597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2020-04-26T11:38:00Z</dcterms:created>
  <dcterms:modified xsi:type="dcterms:W3CDTF">2020-04-26T11:38:00Z</dcterms:modified>
</cp:coreProperties>
</file>