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821" w:rsidRPr="007A3821" w:rsidRDefault="007A3821" w:rsidP="007A3821">
      <w:pPr>
        <w:jc w:val="center"/>
        <w:rPr>
          <w:sz w:val="32"/>
          <w:szCs w:val="32"/>
        </w:rPr>
      </w:pPr>
      <w:bookmarkStart w:id="0" w:name="Anchor1"/>
      <w:bookmarkEnd w:id="0"/>
      <w:r w:rsidRPr="007A3821">
        <w:rPr>
          <w:sz w:val="32"/>
          <w:szCs w:val="32"/>
          <w:rtl/>
        </w:rPr>
        <w:t>الطعن رق</w:t>
      </w:r>
      <w:bookmarkStart w:id="1" w:name="_GoBack"/>
      <w:bookmarkEnd w:id="1"/>
      <w:r w:rsidRPr="007A3821">
        <w:rPr>
          <w:sz w:val="32"/>
          <w:szCs w:val="32"/>
          <w:rtl/>
        </w:rPr>
        <w:t>م 217/2012</w:t>
      </w:r>
    </w:p>
    <w:p w:rsidR="007A3821" w:rsidRPr="007A3821" w:rsidRDefault="007A3821" w:rsidP="007A3821">
      <w:pPr>
        <w:rPr>
          <w:sz w:val="32"/>
          <w:szCs w:val="32"/>
        </w:rPr>
      </w:pPr>
      <w:bookmarkStart w:id="2" w:name="Anchor6"/>
      <w:bookmarkEnd w:id="2"/>
      <w:r w:rsidRPr="007A3821">
        <w:rPr>
          <w:sz w:val="32"/>
          <w:szCs w:val="32"/>
          <w:rtl/>
        </w:rPr>
        <w:t>هيئة المحكمة</w:t>
      </w:r>
      <w:r w:rsidRPr="007A3821">
        <w:rPr>
          <w:sz w:val="32"/>
          <w:szCs w:val="32"/>
        </w:rPr>
        <w:t xml:space="preserve">: </w:t>
      </w:r>
      <w:r w:rsidRPr="007A3821">
        <w:rPr>
          <w:sz w:val="32"/>
          <w:szCs w:val="32"/>
          <w:rtl/>
        </w:rPr>
        <w:t>برئاسة السيد المستشار يونس محمد الياسين وكيل المحكمة وعضوية السادة المستشارين عادل علي البحوه ومحمد أحمد رشدي وإبراهيم الضبع وهشام فراويله</w:t>
      </w:r>
    </w:p>
    <w:bookmarkStart w:id="3" w:name="Anchor22"/>
    <w:bookmarkEnd w:id="3"/>
    <w:p w:rsidR="007A3821" w:rsidRPr="007A3821" w:rsidRDefault="007A3821" w:rsidP="007A3821">
      <w:pPr>
        <w:rPr>
          <w:sz w:val="32"/>
          <w:szCs w:val="32"/>
        </w:rPr>
      </w:pPr>
      <w:r w:rsidRPr="007A3821">
        <w:rPr>
          <w:sz w:val="32"/>
          <w:szCs w:val="32"/>
        </w:rPr>
        <w:fldChar w:fldCharType="begin"/>
      </w:r>
      <w:r w:rsidRPr="007A3821">
        <w:rPr>
          <w:sz w:val="32"/>
          <w:szCs w:val="32"/>
        </w:rPr>
        <w:instrText xml:space="preserve"> HYPERLINK "http://www.law.gov.kw/KWT_CC-Ar/00_2014/00_%D8%A7%D9%84%D8%AF%D8%A7%D8%A6%D8%B1%D8%A9%20%D8%A7%D9%84%D8%AA%D8%AC%D8%A7%D8%B1%D9%8A%D8%A9/KWT-CC-Ar_2014-05-25_00217_Taan.html" \l "TN2014_217_1" </w:instrText>
      </w:r>
      <w:r w:rsidRPr="007A3821">
        <w:rPr>
          <w:sz w:val="32"/>
          <w:szCs w:val="32"/>
        </w:rPr>
        <w:fldChar w:fldCharType="separate"/>
      </w:r>
      <w:r w:rsidRPr="007A3821">
        <w:rPr>
          <w:rStyle w:val="Hyperlink"/>
          <w:sz w:val="32"/>
          <w:szCs w:val="32"/>
        </w:rPr>
        <w:t xml:space="preserve">1- </w:t>
      </w:r>
      <w:r w:rsidRPr="007A3821">
        <w:rPr>
          <w:rStyle w:val="Hyperlink"/>
          <w:sz w:val="32"/>
          <w:szCs w:val="32"/>
          <w:rtl/>
        </w:rPr>
        <w:t>إن الحكم يكون مشوباً بالقصور المبطل عند إستناده على واقعة مستخلصة من مصدر لا وجود له</w:t>
      </w:r>
      <w:r w:rsidRPr="007A3821">
        <w:rPr>
          <w:rStyle w:val="Hyperlink"/>
          <w:sz w:val="32"/>
          <w:szCs w:val="32"/>
        </w:rPr>
        <w:t>.</w:t>
      </w:r>
      <w:r w:rsidRPr="007A3821">
        <w:rPr>
          <w:sz w:val="32"/>
          <w:szCs w:val="32"/>
        </w:rPr>
        <w:fldChar w:fldCharType="end"/>
      </w:r>
    </w:p>
    <w:bookmarkStart w:id="4" w:name="Anchor33"/>
    <w:bookmarkEnd w:id="4"/>
    <w:p w:rsidR="007A3821" w:rsidRPr="007A3821" w:rsidRDefault="007A3821" w:rsidP="007A3821">
      <w:pPr>
        <w:rPr>
          <w:sz w:val="32"/>
          <w:szCs w:val="32"/>
        </w:rPr>
      </w:pPr>
      <w:r w:rsidRPr="007A3821">
        <w:rPr>
          <w:sz w:val="32"/>
          <w:szCs w:val="32"/>
        </w:rPr>
        <w:fldChar w:fldCharType="begin"/>
      </w:r>
      <w:r w:rsidRPr="007A3821">
        <w:rPr>
          <w:sz w:val="32"/>
          <w:szCs w:val="32"/>
        </w:rPr>
        <w:instrText xml:space="preserve"> HYPERLINK "http://www.law.gov.kw/KWT_CC-Ar/00_2014/00_%D8%A7%D9%84%D8%AF%D8%A7%D8%A6%D8%B1%D8%A9%20%D8%A7%D9%84%D8%AA%D8%AC%D8%A7%D8%B1%D9%8A%D8%A9/KWT-CC-Ar_2014-05-25_00217_Taan.html" \l "TN2014_217_2" </w:instrText>
      </w:r>
      <w:r w:rsidRPr="007A3821">
        <w:rPr>
          <w:sz w:val="32"/>
          <w:szCs w:val="32"/>
        </w:rPr>
        <w:fldChar w:fldCharType="separate"/>
      </w:r>
      <w:r w:rsidRPr="007A3821">
        <w:rPr>
          <w:rStyle w:val="Hyperlink"/>
          <w:sz w:val="32"/>
          <w:szCs w:val="32"/>
        </w:rPr>
        <w:t xml:space="preserve">2- </w:t>
      </w:r>
      <w:r w:rsidRPr="007A3821">
        <w:rPr>
          <w:rStyle w:val="Hyperlink"/>
          <w:sz w:val="32"/>
          <w:szCs w:val="32"/>
          <w:rtl/>
        </w:rPr>
        <w:t>إن الحكم القاضي بسقوط دعوى العيوب في أعمال إنشاء فيلّا بالتقادم الثلاثي هو حكم مشوب بمخالفة القانون لعدم تحققه من أن تلك العيوب هي ذاتها التي تضمنتها صحيفة الدعوى</w:t>
      </w:r>
      <w:r w:rsidRPr="007A3821">
        <w:rPr>
          <w:rStyle w:val="Hyperlink"/>
          <w:sz w:val="32"/>
          <w:szCs w:val="32"/>
        </w:rPr>
        <w:t>.</w:t>
      </w:r>
      <w:r w:rsidRPr="007A3821">
        <w:rPr>
          <w:sz w:val="32"/>
          <w:szCs w:val="32"/>
        </w:rPr>
        <w:fldChar w:fldCharType="end"/>
      </w:r>
    </w:p>
    <w:bookmarkStart w:id="5" w:name="Anchor51"/>
    <w:bookmarkEnd w:id="5"/>
    <w:p w:rsidR="007A3821" w:rsidRPr="007A3821" w:rsidRDefault="007A3821" w:rsidP="007A3821">
      <w:pPr>
        <w:rPr>
          <w:sz w:val="32"/>
          <w:szCs w:val="32"/>
        </w:rPr>
      </w:pPr>
      <w:r w:rsidRPr="007A3821">
        <w:rPr>
          <w:sz w:val="32"/>
          <w:szCs w:val="32"/>
        </w:rPr>
        <w:fldChar w:fldCharType="begin"/>
      </w:r>
      <w:r w:rsidRPr="007A3821">
        <w:rPr>
          <w:sz w:val="32"/>
          <w:szCs w:val="32"/>
        </w:rPr>
        <w:instrText xml:space="preserve"> HYPERLINK "http://www.law.gov.kw/KWT_CC-Ar/00_2014/00_%D8%A7%D9%84%D8%AF%D8%A7%D8%A6%D8%B1%D8%A9%20%D8%A7%D9%84%D8%AA%D8%AC%D8%A7%D8%B1%D9%8A%D8%A9/KWT-CC-Ar_2014-05-25_00217_Taan.html" \l "TN2014_217_3" </w:instrText>
      </w:r>
      <w:r w:rsidRPr="007A3821">
        <w:rPr>
          <w:sz w:val="32"/>
          <w:szCs w:val="32"/>
        </w:rPr>
        <w:fldChar w:fldCharType="separate"/>
      </w:r>
      <w:r w:rsidRPr="007A3821">
        <w:rPr>
          <w:rStyle w:val="Hyperlink"/>
          <w:sz w:val="32"/>
          <w:szCs w:val="32"/>
        </w:rPr>
        <w:t xml:space="preserve">3- </w:t>
      </w:r>
      <w:r w:rsidRPr="007A3821">
        <w:rPr>
          <w:rStyle w:val="Hyperlink"/>
          <w:sz w:val="32"/>
          <w:szCs w:val="32"/>
          <w:rtl/>
        </w:rPr>
        <w:t>إن بدء إحتساب ميعاد التقادم في دعوى العيوب في أعمال البناء موضوع الدعوى يسري من تاريخ إكتشاف هذه العيوب عملاً بأحكام القانون المدني</w:t>
      </w:r>
      <w:r w:rsidRPr="007A3821">
        <w:rPr>
          <w:rStyle w:val="Hyperlink"/>
          <w:sz w:val="32"/>
          <w:szCs w:val="32"/>
        </w:rPr>
        <w:t>.</w:t>
      </w:r>
      <w:r w:rsidRPr="007A3821">
        <w:rPr>
          <w:sz w:val="32"/>
          <w:szCs w:val="32"/>
        </w:rPr>
        <w:fldChar w:fldCharType="end"/>
      </w:r>
    </w:p>
    <w:bookmarkStart w:id="6" w:name="Anchor65"/>
    <w:bookmarkEnd w:id="6"/>
    <w:p w:rsidR="007A3821" w:rsidRPr="007A3821" w:rsidRDefault="007A3821" w:rsidP="007A3821">
      <w:pPr>
        <w:rPr>
          <w:sz w:val="32"/>
          <w:szCs w:val="32"/>
        </w:rPr>
      </w:pPr>
      <w:r w:rsidRPr="007A3821">
        <w:rPr>
          <w:sz w:val="32"/>
          <w:szCs w:val="32"/>
        </w:rPr>
        <w:fldChar w:fldCharType="begin"/>
      </w:r>
      <w:r w:rsidRPr="007A3821">
        <w:rPr>
          <w:sz w:val="32"/>
          <w:szCs w:val="32"/>
        </w:rPr>
        <w:instrText xml:space="preserve"> HYPERLINK "http://www.law.gov.kw/KWT_CC-Ar/00_2014/00_%D8%A7%D9%84%D8%AF%D8%A7%D8%A6%D8%B1%D8%A9%20%D8%A7%D9%84%D8%AA%D8%AC%D8%A7%D8%B1%D9%8A%D8%A9/KWT-CC-Ar_2014-05-25_00217_Taan.html" \l "TN2014_217_4" </w:instrText>
      </w:r>
      <w:r w:rsidRPr="007A3821">
        <w:rPr>
          <w:sz w:val="32"/>
          <w:szCs w:val="32"/>
        </w:rPr>
        <w:fldChar w:fldCharType="separate"/>
      </w:r>
      <w:r w:rsidRPr="007A3821">
        <w:rPr>
          <w:rStyle w:val="Hyperlink"/>
          <w:sz w:val="32"/>
          <w:szCs w:val="32"/>
        </w:rPr>
        <w:t xml:space="preserve">4- </w:t>
      </w:r>
      <w:r w:rsidRPr="007A3821">
        <w:rPr>
          <w:rStyle w:val="Hyperlink"/>
          <w:sz w:val="32"/>
          <w:szCs w:val="32"/>
          <w:rtl/>
        </w:rPr>
        <w:t>إن لمحكمة الموضوع الأخذ بتقرير الخبير المنتدب طالما إطمأنت إليه واقتنعت بصحة أسبابه</w:t>
      </w:r>
      <w:r w:rsidRPr="007A3821">
        <w:rPr>
          <w:rStyle w:val="Hyperlink"/>
          <w:sz w:val="32"/>
          <w:szCs w:val="32"/>
        </w:rPr>
        <w:t>.</w:t>
      </w:r>
      <w:r w:rsidRPr="007A3821">
        <w:rPr>
          <w:sz w:val="32"/>
          <w:szCs w:val="32"/>
        </w:rPr>
        <w:fldChar w:fldCharType="end"/>
      </w:r>
    </w:p>
    <w:bookmarkStart w:id="7" w:name="Anchor76"/>
    <w:bookmarkEnd w:id="7"/>
    <w:p w:rsidR="007A3821" w:rsidRPr="007A3821" w:rsidRDefault="007A3821" w:rsidP="007A3821">
      <w:pPr>
        <w:rPr>
          <w:sz w:val="32"/>
          <w:szCs w:val="32"/>
        </w:rPr>
      </w:pPr>
      <w:r w:rsidRPr="007A3821">
        <w:rPr>
          <w:sz w:val="32"/>
          <w:szCs w:val="32"/>
        </w:rPr>
        <w:fldChar w:fldCharType="begin"/>
      </w:r>
      <w:r w:rsidRPr="007A3821">
        <w:rPr>
          <w:sz w:val="32"/>
          <w:szCs w:val="32"/>
        </w:rPr>
        <w:instrText xml:space="preserve"> HYPERLINK "http://www.law.gov.kw/KWT_CC-Ar/00_2014/00_%D8%A7%D9%84%D8%AF%D8%A7%D8%A6%D8%B1%D8%A9%20%D8%A7%D9%84%D8%AA%D8%AC%D8%A7%D8%B1%D9%8A%D8%A9/KWT-CC-Ar_2014-05-25_00217_Taan.html" \l "TN2014_217_5" </w:instrText>
      </w:r>
      <w:r w:rsidRPr="007A3821">
        <w:rPr>
          <w:sz w:val="32"/>
          <w:szCs w:val="32"/>
        </w:rPr>
        <w:fldChar w:fldCharType="separate"/>
      </w:r>
      <w:r w:rsidRPr="007A3821">
        <w:rPr>
          <w:rStyle w:val="Hyperlink"/>
          <w:sz w:val="32"/>
          <w:szCs w:val="32"/>
        </w:rPr>
        <w:t xml:space="preserve">5- </w:t>
      </w:r>
      <w:r w:rsidRPr="007A3821">
        <w:rPr>
          <w:rStyle w:val="Hyperlink"/>
          <w:sz w:val="32"/>
          <w:szCs w:val="32"/>
          <w:rtl/>
        </w:rPr>
        <w:t>إن استخلاص الخطأ وتقدير إخلال المتعاقد بإلتزامه المستوجب المسئولية العقدية وتحديد الضرر وتقدير التعويض المناسب من المسائل الواقعية التي تستقل بها محكمة الموضوع</w:t>
      </w:r>
      <w:r w:rsidRPr="007A3821">
        <w:rPr>
          <w:rStyle w:val="Hyperlink"/>
          <w:sz w:val="32"/>
          <w:szCs w:val="32"/>
        </w:rPr>
        <w:t>.</w:t>
      </w:r>
      <w:r w:rsidRPr="007A3821">
        <w:rPr>
          <w:sz w:val="32"/>
          <w:szCs w:val="32"/>
        </w:rPr>
        <w:fldChar w:fldCharType="end"/>
      </w:r>
      <w:r w:rsidRPr="007A3821">
        <w:rPr>
          <w:sz w:val="32"/>
          <w:szCs w:val="32"/>
        </w:rPr>
        <w:br/>
      </w:r>
      <w:r w:rsidRPr="007A3821">
        <w:rPr>
          <w:sz w:val="32"/>
          <w:szCs w:val="32"/>
        </w:rPr>
        <w:br/>
      </w:r>
      <w:r w:rsidRPr="007A3821">
        <w:rPr>
          <w:sz w:val="32"/>
          <w:szCs w:val="32"/>
          <w:u w:val="single"/>
          <w:rtl/>
        </w:rPr>
        <w:t>ملاحظة</w:t>
      </w:r>
      <w:r w:rsidRPr="007A3821">
        <w:rPr>
          <w:sz w:val="32"/>
          <w:szCs w:val="32"/>
          <w:u w:val="single"/>
        </w:rPr>
        <w:t xml:space="preserve"> :</w:t>
      </w:r>
      <w:r w:rsidRPr="007A3821">
        <w:rPr>
          <w:sz w:val="32"/>
          <w:szCs w:val="32"/>
        </w:rPr>
        <w:br/>
      </w:r>
      <w:r w:rsidRPr="007A382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A3821" w:rsidRPr="007A3821" w:rsidRDefault="007A3821" w:rsidP="007A3821">
      <w:pPr>
        <w:rPr>
          <w:sz w:val="32"/>
          <w:szCs w:val="32"/>
        </w:rPr>
      </w:pPr>
      <w:bookmarkStart w:id="8" w:name="Anchor95"/>
      <w:bookmarkEnd w:id="8"/>
      <w:r w:rsidRPr="007A3821">
        <w:rPr>
          <w:b/>
          <w:bCs/>
          <w:sz w:val="32"/>
          <w:szCs w:val="32"/>
          <w:rtl/>
        </w:rPr>
        <w:t>المحكمة</w:t>
      </w:r>
    </w:p>
    <w:p w:rsidR="007A3821" w:rsidRPr="007A3821" w:rsidRDefault="007A3821" w:rsidP="007A3821">
      <w:pPr>
        <w:rPr>
          <w:sz w:val="32"/>
          <w:szCs w:val="32"/>
        </w:rPr>
      </w:pPr>
      <w:bookmarkStart w:id="9" w:name="Anchor96"/>
      <w:bookmarkEnd w:id="9"/>
      <w:r w:rsidRPr="007A3821">
        <w:rPr>
          <w:sz w:val="32"/>
          <w:szCs w:val="32"/>
          <w:rtl/>
        </w:rPr>
        <w:t>بعد الاطلاع على الأوراق، وسماع المرافعة، وبعد المداولة</w:t>
      </w:r>
      <w:r w:rsidRPr="007A3821">
        <w:rPr>
          <w:sz w:val="32"/>
          <w:szCs w:val="32"/>
        </w:rPr>
        <w:t>.</w:t>
      </w:r>
    </w:p>
    <w:p w:rsidR="007A3821" w:rsidRPr="007A3821" w:rsidRDefault="007A3821" w:rsidP="007A3821">
      <w:pPr>
        <w:rPr>
          <w:sz w:val="32"/>
          <w:szCs w:val="32"/>
        </w:rPr>
      </w:pPr>
      <w:bookmarkStart w:id="10" w:name="Anchor103"/>
      <w:bookmarkEnd w:id="10"/>
      <w:r w:rsidRPr="007A3821">
        <w:rPr>
          <w:sz w:val="32"/>
          <w:szCs w:val="32"/>
          <w:rtl/>
        </w:rPr>
        <w:t>حيث إن الطعن استوفى أوضاعه الشكلية</w:t>
      </w:r>
      <w:r w:rsidRPr="007A3821">
        <w:rPr>
          <w:sz w:val="32"/>
          <w:szCs w:val="32"/>
        </w:rPr>
        <w:t>.</w:t>
      </w:r>
    </w:p>
    <w:p w:rsidR="007A3821" w:rsidRPr="007A3821" w:rsidRDefault="007A3821" w:rsidP="007A3821">
      <w:pPr>
        <w:rPr>
          <w:sz w:val="32"/>
          <w:szCs w:val="32"/>
        </w:rPr>
      </w:pPr>
      <w:bookmarkStart w:id="11" w:name="Anchor108"/>
      <w:bookmarkEnd w:id="11"/>
      <w:r w:rsidRPr="007A3821">
        <w:rPr>
          <w:sz w:val="32"/>
          <w:szCs w:val="32"/>
          <w:rtl/>
        </w:rPr>
        <w:t xml:space="preserve">وحيث إن الوقائع </w:t>
      </w:r>
      <w:r w:rsidRPr="007A3821">
        <w:rPr>
          <w:sz w:val="32"/>
          <w:szCs w:val="32"/>
        </w:rPr>
        <w:t xml:space="preserve">– </w:t>
      </w:r>
      <w:r w:rsidRPr="007A3821">
        <w:rPr>
          <w:sz w:val="32"/>
          <w:szCs w:val="32"/>
          <w:rtl/>
        </w:rPr>
        <w:t xml:space="preserve">على ما يبين من الحكم المطعون فيه وسائر الأوراق </w:t>
      </w:r>
      <w:r w:rsidRPr="007A3821">
        <w:rPr>
          <w:sz w:val="32"/>
          <w:szCs w:val="32"/>
        </w:rPr>
        <w:t xml:space="preserve">– </w:t>
      </w:r>
      <w:r w:rsidRPr="007A3821">
        <w:rPr>
          <w:sz w:val="32"/>
          <w:szCs w:val="32"/>
          <w:rtl/>
        </w:rPr>
        <w:t xml:space="preserve">تتحصل في أن الطاعن أقام على المطعون ضدهم الدعوى رقم 794 لسنة 2011 تجاري بطلب ندب خبير للانتقال إلى الفيلا المملوكة له لمعاينتها وبيان العيوب في الأعمال المنفذة وتقدير تكلفة إصلاحها وتقدير الأضرار الجابرة لها مع إلزام الشركة </w:t>
      </w:r>
      <w:r w:rsidRPr="007A3821">
        <w:rPr>
          <w:sz w:val="32"/>
          <w:szCs w:val="32"/>
          <w:rtl/>
        </w:rPr>
        <w:lastRenderedPageBreak/>
        <w:t xml:space="preserve">المطعون ضدها بإدائها، وقال بياناً لذلك أنه وبموجب اتفاقية مؤرخة 2000/12/4 اتفق مع المطعون ضدها الأولى </w:t>
      </w:r>
      <w:r w:rsidRPr="007A3821">
        <w:rPr>
          <w:sz w:val="32"/>
          <w:szCs w:val="32"/>
        </w:rPr>
        <w:t>(</w:t>
      </w:r>
      <w:r w:rsidRPr="007A3821">
        <w:rPr>
          <w:sz w:val="32"/>
          <w:szCs w:val="32"/>
          <w:rtl/>
        </w:rPr>
        <w:t>شركة المشاريع) على إنشاء مسكنٍ له بالقسيمة رقم 67 بمنطقة أبو الحصانية بالكويت وبعد تسلمه تلاحظ له عيوب في الأعمال المنفذة قام بإثبات حالتها بالدعوى رقم 823 لسنة 2010 مستعجل وانتهى الخبير المنتدب فيها إلى إثبات حالة العيوب محل التداعي وقضى فيها بحكم نهائي بانتهاء الدعوى. حكمت المحكمة بسقوط الدعوى بالتقادم الثلاثي استأنف الطاعن هذا الحكم بالاستئناف رقم 3919 لسنة 2011 تجاري، وبتاريخ 2012/1/25 قضت المحكمة بتأييد الحكم المستأنف. طعن الطاعن في هذا الحكم بطريق التمييز، وأودعت النيابة مذكرة أبدت فيها الرأي بتمييز الحكم المطعون فيه، وإذ عرض الطعن على هذه المحكمة في غرفة مشورة حددت جلسة لنظره وفيها التزمت النيابة رأيها</w:t>
      </w:r>
      <w:r w:rsidRPr="007A3821">
        <w:rPr>
          <w:sz w:val="32"/>
          <w:szCs w:val="32"/>
        </w:rPr>
        <w:t>.</w:t>
      </w:r>
    </w:p>
    <w:p w:rsidR="007A3821" w:rsidRPr="007A3821" w:rsidRDefault="007A3821" w:rsidP="007A3821">
      <w:pPr>
        <w:rPr>
          <w:sz w:val="32"/>
          <w:szCs w:val="32"/>
        </w:rPr>
      </w:pPr>
      <w:bookmarkStart w:id="12" w:name="Anchor204"/>
      <w:bookmarkEnd w:id="12"/>
      <w:r w:rsidRPr="007A3821">
        <w:rPr>
          <w:sz w:val="32"/>
          <w:szCs w:val="32"/>
          <w:rtl/>
        </w:rPr>
        <w:t>وحيث أن مما ينعاه الطاعن على الحكم المطعون فيه مخالفة القانون والخطأ في تطبيقه ومخالفة الثابت بالأوراق والفساد في الاستدلال حين أقام قضائه بتأييد الحكم المستأنف بسقوط الدعوى بالتقادم الثلاثي على سندِ مما هو ثابت بالخطاب المؤرخ 2004/1/26 الصادر منه للمطعون ضدها يخطرها فيه بوجود عيوب في الأعمال المنفذة على النحو الذي تضمنه هذا الخطاب والتفت عن دفاع الطاعن من أن تلك العيوب المشار إليها به ليست هي بذاتها العيوب التي أوردها بصحيفة دعواه المبتدأة مما لا يصلح معه اتخاذ هذا الخطاب سنداً لبدء حساب التقادم، وإذ خالف الحكم المطعون فيه هذا النظر متخذاً من الخطاب سالف البيان دليلاً على انكشاف العيوب مفترضاً مطابقتها لما أورده الطاعن بصحيفة دعواه دون أن يبين ما يؤكد هذا الافتراض ورتب على ذلك قضاءه بسقوط الدعوى بالتقادم الثلاثي فإنه يكون معيباً بما يستوجب تمييزه</w:t>
      </w:r>
      <w:r w:rsidRPr="007A3821">
        <w:rPr>
          <w:sz w:val="32"/>
          <w:szCs w:val="32"/>
        </w:rPr>
        <w:t>.</w:t>
      </w:r>
    </w:p>
    <w:p w:rsidR="007A3821" w:rsidRPr="007A3821" w:rsidRDefault="007A3821" w:rsidP="007A3821">
      <w:pPr>
        <w:rPr>
          <w:sz w:val="32"/>
          <w:szCs w:val="32"/>
        </w:rPr>
      </w:pPr>
      <w:bookmarkStart w:id="13" w:name="Anchor277"/>
      <w:bookmarkEnd w:id="13"/>
      <w:r w:rsidRPr="007A3821">
        <w:rPr>
          <w:sz w:val="32"/>
          <w:szCs w:val="32"/>
          <w:rtl/>
        </w:rPr>
        <w:t xml:space="preserve">وحيث إن هذا النعي في محله ذلك أن </w:t>
      </w:r>
      <w:bookmarkStart w:id="14" w:name="TN2014_217_1"/>
      <w:bookmarkEnd w:id="14"/>
      <w:r w:rsidRPr="007A3821">
        <w:rPr>
          <w:b/>
          <w:bCs/>
          <w:sz w:val="32"/>
          <w:szCs w:val="32"/>
          <w:rtl/>
        </w:rPr>
        <w:t xml:space="preserve">ابتناء الحكم على واقعة مستخلصة من مصدر لا وجود له، وافترض الحكم وجودها دون أن يقيم الدليل عليها أو يبين المصدر الذي استقاه منه فإنه يكون مشوباً بالقصور المبطل </w:t>
      </w:r>
      <w:r w:rsidRPr="007A3821">
        <w:rPr>
          <w:sz w:val="32"/>
          <w:szCs w:val="32"/>
          <w:rtl/>
        </w:rPr>
        <w:t xml:space="preserve">لما كان ذلك </w:t>
      </w:r>
      <w:bookmarkStart w:id="15" w:name="TN2014_217_2"/>
      <w:bookmarkEnd w:id="15"/>
      <w:r w:rsidRPr="007A3821">
        <w:rPr>
          <w:b/>
          <w:bCs/>
          <w:sz w:val="32"/>
          <w:szCs w:val="32"/>
          <w:rtl/>
        </w:rPr>
        <w:t xml:space="preserve">وكان الحكم المطعون فيه المؤيد والمكمل للحكم الابتدائي قد أقام قضاءه بسقوط الدعوى بالتقادم الثلاثي على سند مما تضمنه الخطاب المؤرخ 2004/1/26 باكتشاف الطاعن بعض العيوب في الأعمال المنفذة وأنه أقام دعواه في </w:t>
      </w:r>
      <w:r w:rsidRPr="007A3821">
        <w:rPr>
          <w:b/>
          <w:bCs/>
          <w:sz w:val="32"/>
          <w:szCs w:val="32"/>
        </w:rPr>
        <w:t xml:space="preserve">2011/3/20 </w:t>
      </w:r>
      <w:r w:rsidRPr="007A3821">
        <w:rPr>
          <w:b/>
          <w:bCs/>
          <w:sz w:val="32"/>
          <w:szCs w:val="32"/>
          <w:rtl/>
        </w:rPr>
        <w:t xml:space="preserve">دون أن يتحقق من أن تلك العيوب التي حواها هذا الخطاب هي ذاتها التي تضمنتها صحيفة الدعوى المبتدأة </w:t>
      </w:r>
      <w:r w:rsidRPr="007A3821">
        <w:rPr>
          <w:b/>
          <w:bCs/>
          <w:sz w:val="32"/>
          <w:szCs w:val="32"/>
        </w:rPr>
        <w:t xml:space="preserve">– </w:t>
      </w:r>
      <w:r w:rsidRPr="007A3821">
        <w:rPr>
          <w:b/>
          <w:bCs/>
          <w:sz w:val="32"/>
          <w:szCs w:val="32"/>
          <w:rtl/>
        </w:rPr>
        <w:t>ملتفتاً عن دفاع الطاعن في هذا الخصوص ومن ثم فإن ما ذهب إليه الحكم المطعون فيه في مدوناته وأقام عليه قضاءه افترضه افتراضاً من دون أن يقيم الدليل عليه أو يبين المصدر الذي استقاه منه أو يستظهر إن كانت العيوب التي تضمنها الخطاب هي ذاتها التي سطرت بصحيفة الدعوى بما يشوب الحكم بالقصور والفساد في الاستدلال ويوجب تمييزه دون حاجة لبحث باقي أوجه سبب الطعن</w:t>
      </w:r>
      <w:r w:rsidRPr="007A3821">
        <w:rPr>
          <w:b/>
          <w:bCs/>
          <w:sz w:val="32"/>
          <w:szCs w:val="32"/>
        </w:rPr>
        <w:t>.</w:t>
      </w:r>
    </w:p>
    <w:p w:rsidR="007A3821" w:rsidRPr="007A3821" w:rsidRDefault="007A3821" w:rsidP="007A3821">
      <w:pPr>
        <w:rPr>
          <w:sz w:val="32"/>
          <w:szCs w:val="32"/>
        </w:rPr>
      </w:pPr>
      <w:bookmarkStart w:id="16" w:name="Anchor359"/>
      <w:bookmarkStart w:id="17" w:name="TN2014_217_3"/>
      <w:bookmarkEnd w:id="16"/>
      <w:bookmarkEnd w:id="17"/>
      <w:r w:rsidRPr="007A3821">
        <w:rPr>
          <w:b/>
          <w:bCs/>
          <w:sz w:val="32"/>
          <w:szCs w:val="32"/>
          <w:rtl/>
        </w:rPr>
        <w:t xml:space="preserve">وحيث إنه وعن موضوع الاستئناف صالح للفصل فيه </w:t>
      </w:r>
      <w:r w:rsidRPr="007A3821">
        <w:rPr>
          <w:b/>
          <w:bCs/>
          <w:sz w:val="32"/>
          <w:szCs w:val="32"/>
        </w:rPr>
        <w:t xml:space="preserve">– </w:t>
      </w:r>
      <w:r w:rsidRPr="007A3821">
        <w:rPr>
          <w:b/>
          <w:bCs/>
          <w:sz w:val="32"/>
          <w:szCs w:val="32"/>
          <w:rtl/>
        </w:rPr>
        <w:t xml:space="preserve">ولما تقدم </w:t>
      </w:r>
      <w:r w:rsidRPr="007A3821">
        <w:rPr>
          <w:b/>
          <w:bCs/>
          <w:sz w:val="32"/>
          <w:szCs w:val="32"/>
        </w:rPr>
        <w:t xml:space="preserve">– </w:t>
      </w:r>
      <w:r w:rsidRPr="007A3821">
        <w:rPr>
          <w:b/>
          <w:bCs/>
          <w:sz w:val="32"/>
          <w:szCs w:val="32"/>
          <w:rtl/>
        </w:rPr>
        <w:t>وكان البين من تقرير الخبير المودع في الدعوى رقم 823 لسنة 2010 مستعجل والمرفق بالأوراق اكتشاف المستأنف في الاستئناف رقم 3919 لسنة 2014 تجاري العيوب محل التداعي في 2008/10/7 فإن هذا التاريخ هو الذي يعتد به في بدء احتساب ميعاد التقادم المنصوص عليه في المادة 696 من القانون المدني وكان المستأنف قد أقام دعواه بصحيفة أودعت إدارة كتاب المحكمة في 2011/3/20 فإنها تكون قد أقيمت قبل انقضاء مدة التقادم الثلاثي المنصوص عليها بالمادة ماره البيان وبمنأى عن السقوط</w:t>
      </w:r>
    </w:p>
    <w:p w:rsidR="007A3821" w:rsidRPr="007A3821" w:rsidRDefault="007A3821" w:rsidP="007A3821">
      <w:pPr>
        <w:rPr>
          <w:sz w:val="32"/>
          <w:szCs w:val="32"/>
        </w:rPr>
      </w:pPr>
      <w:bookmarkStart w:id="18" w:name="Anchor406"/>
      <w:bookmarkStart w:id="19" w:name="TN2014_217_4"/>
      <w:bookmarkEnd w:id="18"/>
      <w:bookmarkEnd w:id="19"/>
      <w:r w:rsidRPr="007A3821">
        <w:rPr>
          <w:b/>
          <w:bCs/>
          <w:sz w:val="32"/>
          <w:szCs w:val="32"/>
          <w:rtl/>
        </w:rPr>
        <w:t xml:space="preserve">وكان لمحكمة الموضوع </w:t>
      </w:r>
      <w:r w:rsidRPr="007A3821">
        <w:rPr>
          <w:b/>
          <w:bCs/>
          <w:sz w:val="32"/>
          <w:szCs w:val="32"/>
        </w:rPr>
        <w:t xml:space="preserve">– </w:t>
      </w:r>
      <w:r w:rsidRPr="007A3821">
        <w:rPr>
          <w:b/>
          <w:bCs/>
          <w:sz w:val="32"/>
          <w:szCs w:val="32"/>
          <w:rtl/>
        </w:rPr>
        <w:t xml:space="preserve">في حدود سلطتها التقديرية </w:t>
      </w:r>
      <w:r w:rsidRPr="007A3821">
        <w:rPr>
          <w:b/>
          <w:bCs/>
          <w:sz w:val="32"/>
          <w:szCs w:val="32"/>
        </w:rPr>
        <w:t xml:space="preserve">– </w:t>
      </w:r>
      <w:r w:rsidRPr="007A3821">
        <w:rPr>
          <w:b/>
          <w:bCs/>
          <w:sz w:val="32"/>
          <w:szCs w:val="32"/>
          <w:rtl/>
        </w:rPr>
        <w:t xml:space="preserve">الأخذ بتقرير الخبير المودع في دعوى أخرى </w:t>
      </w:r>
      <w:r w:rsidRPr="007A3821">
        <w:rPr>
          <w:b/>
          <w:bCs/>
          <w:sz w:val="32"/>
          <w:szCs w:val="32"/>
        </w:rPr>
        <w:t xml:space="preserve">– </w:t>
      </w:r>
      <w:r w:rsidRPr="007A3821">
        <w:rPr>
          <w:b/>
          <w:bCs/>
          <w:sz w:val="32"/>
          <w:szCs w:val="32"/>
          <w:rtl/>
        </w:rPr>
        <w:t xml:space="preserve">طالما كان منضماً لأوراق الدعوى </w:t>
      </w:r>
      <w:r w:rsidRPr="007A3821">
        <w:rPr>
          <w:b/>
          <w:bCs/>
          <w:sz w:val="32"/>
          <w:szCs w:val="32"/>
        </w:rPr>
        <w:t xml:space="preserve">– </w:t>
      </w:r>
      <w:r w:rsidRPr="007A3821">
        <w:rPr>
          <w:b/>
          <w:bCs/>
          <w:sz w:val="32"/>
          <w:szCs w:val="32"/>
          <w:rtl/>
        </w:rPr>
        <w:t>وكانت قد اطمأنت إليه واقتنعت بصحة أسبابه</w:t>
      </w:r>
    </w:p>
    <w:p w:rsidR="007A3821" w:rsidRPr="007A3821" w:rsidRDefault="007A3821" w:rsidP="007A3821">
      <w:pPr>
        <w:rPr>
          <w:sz w:val="32"/>
          <w:szCs w:val="32"/>
        </w:rPr>
      </w:pPr>
      <w:bookmarkStart w:id="20" w:name="Anchor428"/>
      <w:bookmarkStart w:id="21" w:name="TN2014_217_5"/>
      <w:bookmarkEnd w:id="20"/>
      <w:bookmarkEnd w:id="21"/>
      <w:r w:rsidRPr="007A3821">
        <w:rPr>
          <w:b/>
          <w:bCs/>
          <w:sz w:val="32"/>
          <w:szCs w:val="32"/>
          <w:rtl/>
        </w:rPr>
        <w:t xml:space="preserve">كما أن استخلاص الخطأ وتقدير إخلال المتعاقد بالتزامه الموجب لمسئوليته العقدية من عدمه وتحديد الضرر وتقدير التعويض الجابر له، كل ذلك من مسائل الواقع التي تستقل محكمة الموضوع بتقديره، </w:t>
      </w:r>
      <w:r w:rsidRPr="007A3821">
        <w:rPr>
          <w:sz w:val="32"/>
          <w:szCs w:val="32"/>
          <w:rtl/>
        </w:rPr>
        <w:t xml:space="preserve">لما كان ذلك، وكان البين من تقرير الخبير المودع بالاستئناف رقمي 102، 109 لسنة 2011 مستعجل/4 المردد بين ذات الخصوم والمرفق بأوراق الدعوى والذي فيه حاله العيوب والتي تختلف عن تلك المشار إليها بالخطاب المؤرخ 2004/1/26 من وجود شروخ وانتفاخات بمعظم أرضيات السرداب مع وجود آثار رشح مياه لبعض الحوائط نتيجة عيوب في أعمال العزل وهي مسئولية الشركة المنفذة لها والتي قدرت الخبرة قيمة إصلاحها بمبلغ </w:t>
      </w:r>
      <w:r w:rsidRPr="007A3821">
        <w:rPr>
          <w:sz w:val="32"/>
          <w:szCs w:val="32"/>
        </w:rPr>
        <w:t xml:space="preserve">30401,280 </w:t>
      </w:r>
      <w:r w:rsidRPr="007A3821">
        <w:rPr>
          <w:sz w:val="32"/>
          <w:szCs w:val="32"/>
          <w:rtl/>
        </w:rPr>
        <w:t xml:space="preserve">د.ك، وترى المحكمة </w:t>
      </w:r>
      <w:r w:rsidRPr="007A3821">
        <w:rPr>
          <w:sz w:val="32"/>
          <w:szCs w:val="32"/>
        </w:rPr>
        <w:t xml:space="preserve">– </w:t>
      </w:r>
      <w:r w:rsidRPr="007A3821">
        <w:rPr>
          <w:sz w:val="32"/>
          <w:szCs w:val="32"/>
          <w:rtl/>
        </w:rPr>
        <w:t xml:space="preserve">بما لها من سلطة في تقدير التعويض </w:t>
      </w:r>
      <w:r w:rsidRPr="007A3821">
        <w:rPr>
          <w:sz w:val="32"/>
          <w:szCs w:val="32"/>
        </w:rPr>
        <w:t xml:space="preserve">– </w:t>
      </w:r>
      <w:r w:rsidRPr="007A3821">
        <w:rPr>
          <w:sz w:val="32"/>
          <w:szCs w:val="32"/>
          <w:rtl/>
        </w:rPr>
        <w:t xml:space="preserve">أن هذا المبلغ جاء جابراً لكافة الأضرار التي لحقت بالمستأنف وإذ خالف الحكم المستأنف هذا النظر المتقدم فيما قضى به بعدم سماع الدعوى بما يتعين معه القضاء بإلغائه، وإلزام المستأنف ضدها الأولى في الاستئناف رقم 3919 لسنة </w:t>
      </w:r>
      <w:r w:rsidRPr="007A3821">
        <w:rPr>
          <w:sz w:val="32"/>
          <w:szCs w:val="32"/>
        </w:rPr>
        <w:t xml:space="preserve">2011 </w:t>
      </w:r>
      <w:r w:rsidRPr="007A3821">
        <w:rPr>
          <w:sz w:val="32"/>
          <w:szCs w:val="32"/>
          <w:rtl/>
        </w:rPr>
        <w:t xml:space="preserve">تجاري شركة إدارة ومتابعة المشاريع بأداء مبلغ </w:t>
      </w:r>
      <w:r w:rsidRPr="007A3821">
        <w:rPr>
          <w:sz w:val="32"/>
          <w:szCs w:val="32"/>
        </w:rPr>
        <w:t xml:space="preserve">30401,280 </w:t>
      </w:r>
      <w:r w:rsidRPr="007A3821">
        <w:rPr>
          <w:sz w:val="32"/>
          <w:szCs w:val="32"/>
          <w:rtl/>
        </w:rPr>
        <w:t>د.ك على النحو الذي سيرد بالمنطوق</w:t>
      </w:r>
      <w:r w:rsidRPr="007A3821">
        <w:rPr>
          <w:sz w:val="32"/>
          <w:szCs w:val="32"/>
        </w:rPr>
        <w:t>.</w:t>
      </w:r>
    </w:p>
    <w:p w:rsidR="007A3821" w:rsidRPr="007A3821" w:rsidRDefault="007A3821" w:rsidP="007A3821">
      <w:pPr>
        <w:rPr>
          <w:sz w:val="32"/>
          <w:szCs w:val="32"/>
        </w:rPr>
      </w:pPr>
      <w:bookmarkStart w:id="22" w:name="Anchor521"/>
      <w:bookmarkEnd w:id="22"/>
      <w:r w:rsidRPr="007A3821">
        <w:rPr>
          <w:sz w:val="32"/>
          <w:szCs w:val="32"/>
          <w:rtl/>
        </w:rPr>
        <w:t>وحيث أنه وعن المصروفات فالمحكمة تلزم بها المستأنف عليها عن الدرجتين شاملة مقابل أتعاب المحاماة</w:t>
      </w:r>
      <w:r w:rsidRPr="007A3821">
        <w:rPr>
          <w:sz w:val="32"/>
          <w:szCs w:val="32"/>
        </w:rPr>
        <w:t>.</w:t>
      </w:r>
    </w:p>
    <w:p w:rsidR="007A3821" w:rsidRPr="007A3821" w:rsidRDefault="007A3821" w:rsidP="007A3821">
      <w:pPr>
        <w:rPr>
          <w:sz w:val="32"/>
          <w:szCs w:val="32"/>
        </w:rPr>
      </w:pPr>
      <w:bookmarkStart w:id="23" w:name="Anchor532"/>
      <w:bookmarkEnd w:id="23"/>
      <w:r w:rsidRPr="007A3821">
        <w:rPr>
          <w:b/>
          <w:bCs/>
          <w:sz w:val="32"/>
          <w:szCs w:val="32"/>
          <w:rtl/>
        </w:rPr>
        <w:t>لذلك</w:t>
      </w:r>
    </w:p>
    <w:p w:rsidR="007A3821" w:rsidRPr="007A3821" w:rsidRDefault="007A3821" w:rsidP="007A3821">
      <w:pPr>
        <w:rPr>
          <w:sz w:val="32"/>
          <w:szCs w:val="32"/>
        </w:rPr>
      </w:pPr>
      <w:bookmarkStart w:id="24" w:name="Anchor533"/>
      <w:bookmarkEnd w:id="24"/>
      <w:r w:rsidRPr="007A3821">
        <w:rPr>
          <w:b/>
          <w:bCs/>
          <w:sz w:val="32"/>
          <w:szCs w:val="32"/>
          <w:rtl/>
        </w:rPr>
        <w:t>حكمت المحكمة</w:t>
      </w:r>
      <w:r w:rsidRPr="007A3821">
        <w:rPr>
          <w:b/>
          <w:bCs/>
          <w:sz w:val="32"/>
          <w:szCs w:val="32"/>
        </w:rPr>
        <w:t xml:space="preserve">:- </w:t>
      </w:r>
      <w:r w:rsidRPr="007A3821">
        <w:rPr>
          <w:b/>
          <w:bCs/>
          <w:sz w:val="32"/>
          <w:szCs w:val="32"/>
          <w:rtl/>
        </w:rPr>
        <w:t>أولاً</w:t>
      </w:r>
      <w:r w:rsidRPr="007A3821">
        <w:rPr>
          <w:b/>
          <w:bCs/>
          <w:sz w:val="32"/>
          <w:szCs w:val="32"/>
        </w:rPr>
        <w:t>:</w:t>
      </w:r>
      <w:r w:rsidRPr="007A3821">
        <w:rPr>
          <w:sz w:val="32"/>
          <w:szCs w:val="32"/>
        </w:rPr>
        <w:t xml:space="preserve"> </w:t>
      </w:r>
      <w:r w:rsidRPr="007A3821">
        <w:rPr>
          <w:sz w:val="32"/>
          <w:szCs w:val="32"/>
          <w:rtl/>
        </w:rPr>
        <w:t>بقبول الطعن شكلاً وفي الموضوع بتمييز الحكم المطعون فيه وألزمت المطعون ضدها الأولى المصروفات وعشرين ديناراً مقابل أتعاب المحاماة</w:t>
      </w:r>
      <w:r w:rsidRPr="007A3821">
        <w:rPr>
          <w:sz w:val="32"/>
          <w:szCs w:val="32"/>
        </w:rPr>
        <w:t>.</w:t>
      </w:r>
    </w:p>
    <w:p w:rsidR="007A3821" w:rsidRPr="007A3821" w:rsidRDefault="007A3821" w:rsidP="007A3821">
      <w:pPr>
        <w:rPr>
          <w:sz w:val="32"/>
          <w:szCs w:val="32"/>
        </w:rPr>
      </w:pPr>
      <w:bookmarkStart w:id="25" w:name="Anchor549"/>
      <w:bookmarkEnd w:id="25"/>
      <w:r w:rsidRPr="007A3821">
        <w:rPr>
          <w:b/>
          <w:bCs/>
          <w:sz w:val="32"/>
          <w:szCs w:val="32"/>
          <w:rtl/>
        </w:rPr>
        <w:t>ثانياً</w:t>
      </w:r>
      <w:r w:rsidRPr="007A3821">
        <w:rPr>
          <w:b/>
          <w:bCs/>
          <w:sz w:val="32"/>
          <w:szCs w:val="32"/>
        </w:rPr>
        <w:t>:</w:t>
      </w:r>
      <w:r w:rsidRPr="007A3821">
        <w:rPr>
          <w:sz w:val="32"/>
          <w:szCs w:val="32"/>
        </w:rPr>
        <w:t xml:space="preserve"> </w:t>
      </w:r>
      <w:r w:rsidRPr="007A3821">
        <w:rPr>
          <w:sz w:val="32"/>
          <w:szCs w:val="32"/>
          <w:rtl/>
        </w:rPr>
        <w:t xml:space="preserve">وفي موضوع الاستئناف رقم 3919 لسنة 2011 تجاري بإلغاء الحكم المستأنف وبإلزام المستأنف ضدها الأولى </w:t>
      </w:r>
      <w:r w:rsidRPr="007A3821">
        <w:rPr>
          <w:sz w:val="32"/>
          <w:szCs w:val="32"/>
        </w:rPr>
        <w:t xml:space="preserve">– </w:t>
      </w:r>
      <w:r w:rsidRPr="007A3821">
        <w:rPr>
          <w:sz w:val="32"/>
          <w:szCs w:val="32"/>
          <w:rtl/>
        </w:rPr>
        <w:t xml:space="preserve">شركة إدارة ومتابعة المشاريع </w:t>
      </w:r>
      <w:r w:rsidRPr="007A3821">
        <w:rPr>
          <w:sz w:val="32"/>
          <w:szCs w:val="32"/>
        </w:rPr>
        <w:t xml:space="preserve">– </w:t>
      </w:r>
      <w:r w:rsidRPr="007A3821">
        <w:rPr>
          <w:sz w:val="32"/>
          <w:szCs w:val="32"/>
          <w:rtl/>
        </w:rPr>
        <w:t xml:space="preserve">بأن تؤدي للمستأنف </w:t>
      </w:r>
      <w:r w:rsidRPr="007A3821">
        <w:rPr>
          <w:sz w:val="32"/>
          <w:szCs w:val="32"/>
        </w:rPr>
        <w:t xml:space="preserve">(.........) </w:t>
      </w:r>
      <w:r w:rsidRPr="007A3821">
        <w:rPr>
          <w:sz w:val="32"/>
          <w:szCs w:val="32"/>
          <w:rtl/>
        </w:rPr>
        <w:t>مبلغ 30401,280 د.ك، فقط ثلاثون ألف وأربعمائة وواحد دينار ومائتي وثمانون فلساً وألزمتها المصروفات عن درجتي التقاضي وعشرين ديناراً مقابل أتعاب المحاماة</w:t>
      </w:r>
      <w:r w:rsidRPr="007A3821">
        <w:rPr>
          <w:sz w:val="32"/>
          <w:szCs w:val="32"/>
        </w:rPr>
        <w:t>.</w:t>
      </w:r>
    </w:p>
    <w:p w:rsidR="007A3821" w:rsidRPr="007A3821" w:rsidRDefault="007A3821" w:rsidP="007A3821">
      <w:pPr>
        <w:rPr>
          <w:sz w:val="32"/>
          <w:szCs w:val="32"/>
        </w:rPr>
      </w:pPr>
    </w:p>
    <w:p w:rsidR="007A3821" w:rsidRPr="007A3821" w:rsidRDefault="007A3821" w:rsidP="007A3821">
      <w:pPr>
        <w:rPr>
          <w:sz w:val="32"/>
          <w:szCs w:val="32"/>
        </w:rPr>
      </w:pPr>
      <w:bookmarkStart w:id="26" w:name="Anchor584"/>
      <w:bookmarkEnd w:id="26"/>
      <w:r w:rsidRPr="007A3821">
        <w:rPr>
          <w:sz w:val="32"/>
          <w:szCs w:val="32"/>
        </w:rPr>
        <w:t>* * *</w:t>
      </w:r>
    </w:p>
    <w:p w:rsidR="008C2BA0" w:rsidRPr="007A3821" w:rsidRDefault="008C2BA0">
      <w:pPr>
        <w:rPr>
          <w:sz w:val="32"/>
          <w:szCs w:val="32"/>
        </w:rPr>
      </w:pPr>
    </w:p>
    <w:sectPr w:rsidR="008C2BA0" w:rsidRPr="007A382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E8"/>
    <w:rsid w:val="0003272B"/>
    <w:rsid w:val="00113BE8"/>
    <w:rsid w:val="007A3821"/>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8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30995">
      <w:bodyDiv w:val="1"/>
      <w:marLeft w:val="0"/>
      <w:marRight w:val="0"/>
      <w:marTop w:val="0"/>
      <w:marBottom w:val="0"/>
      <w:divBdr>
        <w:top w:val="none" w:sz="0" w:space="0" w:color="auto"/>
        <w:left w:val="none" w:sz="0" w:space="0" w:color="auto"/>
        <w:bottom w:val="none" w:sz="0" w:space="0" w:color="auto"/>
        <w:right w:val="none" w:sz="0" w:space="0" w:color="auto"/>
      </w:divBdr>
      <w:divsChild>
        <w:div w:id="1196191351">
          <w:marLeft w:val="0"/>
          <w:marRight w:val="0"/>
          <w:marTop w:val="0"/>
          <w:marBottom w:val="0"/>
          <w:divBdr>
            <w:top w:val="none" w:sz="0" w:space="0" w:color="auto"/>
            <w:left w:val="none" w:sz="0" w:space="0" w:color="auto"/>
            <w:bottom w:val="none" w:sz="0" w:space="0" w:color="auto"/>
            <w:right w:val="none" w:sz="0" w:space="0" w:color="auto"/>
          </w:divBdr>
        </w:div>
        <w:div w:id="1799571930">
          <w:marLeft w:val="0"/>
          <w:marRight w:val="0"/>
          <w:marTop w:val="0"/>
          <w:marBottom w:val="0"/>
          <w:divBdr>
            <w:top w:val="none" w:sz="0" w:space="0" w:color="auto"/>
            <w:left w:val="none" w:sz="0" w:space="0" w:color="auto"/>
            <w:bottom w:val="none" w:sz="0" w:space="0" w:color="auto"/>
            <w:right w:val="none" w:sz="0" w:space="0" w:color="auto"/>
          </w:divBdr>
        </w:div>
        <w:div w:id="1403138714">
          <w:marLeft w:val="0"/>
          <w:marRight w:val="0"/>
          <w:marTop w:val="0"/>
          <w:marBottom w:val="0"/>
          <w:divBdr>
            <w:top w:val="none" w:sz="0" w:space="0" w:color="auto"/>
            <w:left w:val="none" w:sz="0" w:space="0" w:color="auto"/>
            <w:bottom w:val="none" w:sz="0" w:space="0" w:color="auto"/>
            <w:right w:val="none" w:sz="0" w:space="0" w:color="auto"/>
          </w:divBdr>
        </w:div>
        <w:div w:id="1509056975">
          <w:marLeft w:val="0"/>
          <w:marRight w:val="0"/>
          <w:marTop w:val="0"/>
          <w:marBottom w:val="0"/>
          <w:divBdr>
            <w:top w:val="none" w:sz="0" w:space="0" w:color="auto"/>
            <w:left w:val="none" w:sz="0" w:space="0" w:color="auto"/>
            <w:bottom w:val="none" w:sz="0" w:space="0" w:color="auto"/>
            <w:right w:val="none" w:sz="0" w:space="0" w:color="auto"/>
          </w:divBdr>
        </w:div>
        <w:div w:id="1489438765">
          <w:marLeft w:val="0"/>
          <w:marRight w:val="0"/>
          <w:marTop w:val="0"/>
          <w:marBottom w:val="0"/>
          <w:divBdr>
            <w:top w:val="none" w:sz="0" w:space="0" w:color="auto"/>
            <w:left w:val="none" w:sz="0" w:space="0" w:color="auto"/>
            <w:bottom w:val="none" w:sz="0" w:space="0" w:color="auto"/>
            <w:right w:val="none" w:sz="0" w:space="0" w:color="auto"/>
          </w:divBdr>
        </w:div>
        <w:div w:id="975111852">
          <w:marLeft w:val="0"/>
          <w:marRight w:val="0"/>
          <w:marTop w:val="0"/>
          <w:marBottom w:val="0"/>
          <w:divBdr>
            <w:top w:val="none" w:sz="0" w:space="0" w:color="auto"/>
            <w:left w:val="none" w:sz="0" w:space="0" w:color="auto"/>
            <w:bottom w:val="none" w:sz="0" w:space="0" w:color="auto"/>
            <w:right w:val="none" w:sz="0" w:space="0" w:color="auto"/>
          </w:divBdr>
        </w:div>
        <w:div w:id="284115692">
          <w:marLeft w:val="0"/>
          <w:marRight w:val="0"/>
          <w:marTop w:val="0"/>
          <w:marBottom w:val="0"/>
          <w:divBdr>
            <w:top w:val="none" w:sz="0" w:space="0" w:color="auto"/>
            <w:left w:val="none" w:sz="0" w:space="0" w:color="auto"/>
            <w:bottom w:val="none" w:sz="0" w:space="0" w:color="auto"/>
            <w:right w:val="none" w:sz="0" w:space="0" w:color="auto"/>
          </w:divBdr>
        </w:div>
        <w:div w:id="28922532">
          <w:marLeft w:val="0"/>
          <w:marRight w:val="0"/>
          <w:marTop w:val="0"/>
          <w:marBottom w:val="0"/>
          <w:divBdr>
            <w:top w:val="none" w:sz="0" w:space="0" w:color="auto"/>
            <w:left w:val="none" w:sz="0" w:space="0" w:color="auto"/>
            <w:bottom w:val="none" w:sz="0" w:space="0" w:color="auto"/>
            <w:right w:val="none" w:sz="0" w:space="0" w:color="auto"/>
          </w:divBdr>
        </w:div>
        <w:div w:id="1801682715">
          <w:marLeft w:val="0"/>
          <w:marRight w:val="0"/>
          <w:marTop w:val="0"/>
          <w:marBottom w:val="0"/>
          <w:divBdr>
            <w:top w:val="none" w:sz="0" w:space="0" w:color="auto"/>
            <w:left w:val="none" w:sz="0" w:space="0" w:color="auto"/>
            <w:bottom w:val="none" w:sz="0" w:space="0" w:color="auto"/>
            <w:right w:val="none" w:sz="0" w:space="0" w:color="auto"/>
          </w:divBdr>
        </w:div>
        <w:div w:id="1373114849">
          <w:marLeft w:val="0"/>
          <w:marRight w:val="0"/>
          <w:marTop w:val="0"/>
          <w:marBottom w:val="0"/>
          <w:divBdr>
            <w:top w:val="none" w:sz="0" w:space="0" w:color="auto"/>
            <w:left w:val="none" w:sz="0" w:space="0" w:color="auto"/>
            <w:bottom w:val="none" w:sz="0" w:space="0" w:color="auto"/>
            <w:right w:val="none" w:sz="0" w:space="0" w:color="auto"/>
          </w:divBdr>
        </w:div>
        <w:div w:id="2129665874">
          <w:marLeft w:val="0"/>
          <w:marRight w:val="0"/>
          <w:marTop w:val="0"/>
          <w:marBottom w:val="0"/>
          <w:divBdr>
            <w:top w:val="none" w:sz="0" w:space="0" w:color="auto"/>
            <w:left w:val="none" w:sz="0" w:space="0" w:color="auto"/>
            <w:bottom w:val="none" w:sz="0" w:space="0" w:color="auto"/>
            <w:right w:val="none" w:sz="0" w:space="0" w:color="auto"/>
          </w:divBdr>
        </w:div>
        <w:div w:id="704913376">
          <w:marLeft w:val="0"/>
          <w:marRight w:val="0"/>
          <w:marTop w:val="0"/>
          <w:marBottom w:val="0"/>
          <w:divBdr>
            <w:top w:val="none" w:sz="0" w:space="0" w:color="auto"/>
            <w:left w:val="none" w:sz="0" w:space="0" w:color="auto"/>
            <w:bottom w:val="none" w:sz="0" w:space="0" w:color="auto"/>
            <w:right w:val="none" w:sz="0" w:space="0" w:color="auto"/>
          </w:divBdr>
        </w:div>
        <w:div w:id="1465348535">
          <w:marLeft w:val="0"/>
          <w:marRight w:val="0"/>
          <w:marTop w:val="0"/>
          <w:marBottom w:val="0"/>
          <w:divBdr>
            <w:top w:val="none" w:sz="0" w:space="0" w:color="auto"/>
            <w:left w:val="none" w:sz="0" w:space="0" w:color="auto"/>
            <w:bottom w:val="none" w:sz="0" w:space="0" w:color="auto"/>
            <w:right w:val="none" w:sz="0" w:space="0" w:color="auto"/>
          </w:divBdr>
        </w:div>
        <w:div w:id="729118063">
          <w:marLeft w:val="0"/>
          <w:marRight w:val="0"/>
          <w:marTop w:val="0"/>
          <w:marBottom w:val="0"/>
          <w:divBdr>
            <w:top w:val="none" w:sz="0" w:space="0" w:color="auto"/>
            <w:left w:val="none" w:sz="0" w:space="0" w:color="auto"/>
            <w:bottom w:val="none" w:sz="0" w:space="0" w:color="auto"/>
            <w:right w:val="none" w:sz="0" w:space="0" w:color="auto"/>
          </w:divBdr>
        </w:div>
        <w:div w:id="1019157848">
          <w:marLeft w:val="0"/>
          <w:marRight w:val="0"/>
          <w:marTop w:val="0"/>
          <w:marBottom w:val="0"/>
          <w:divBdr>
            <w:top w:val="none" w:sz="0" w:space="0" w:color="auto"/>
            <w:left w:val="none" w:sz="0" w:space="0" w:color="auto"/>
            <w:bottom w:val="none" w:sz="0" w:space="0" w:color="auto"/>
            <w:right w:val="none" w:sz="0" w:space="0" w:color="auto"/>
          </w:divBdr>
        </w:div>
        <w:div w:id="1376078319">
          <w:marLeft w:val="0"/>
          <w:marRight w:val="0"/>
          <w:marTop w:val="0"/>
          <w:marBottom w:val="0"/>
          <w:divBdr>
            <w:top w:val="none" w:sz="0" w:space="0" w:color="auto"/>
            <w:left w:val="none" w:sz="0" w:space="0" w:color="auto"/>
            <w:bottom w:val="none" w:sz="0" w:space="0" w:color="auto"/>
            <w:right w:val="none" w:sz="0" w:space="0" w:color="auto"/>
          </w:divBdr>
        </w:div>
        <w:div w:id="1752000894">
          <w:marLeft w:val="0"/>
          <w:marRight w:val="0"/>
          <w:marTop w:val="0"/>
          <w:marBottom w:val="0"/>
          <w:divBdr>
            <w:top w:val="none" w:sz="0" w:space="0" w:color="auto"/>
            <w:left w:val="none" w:sz="0" w:space="0" w:color="auto"/>
            <w:bottom w:val="none" w:sz="0" w:space="0" w:color="auto"/>
            <w:right w:val="none" w:sz="0" w:space="0" w:color="auto"/>
          </w:divBdr>
        </w:div>
        <w:div w:id="965309106">
          <w:marLeft w:val="0"/>
          <w:marRight w:val="0"/>
          <w:marTop w:val="0"/>
          <w:marBottom w:val="0"/>
          <w:divBdr>
            <w:top w:val="none" w:sz="0" w:space="0" w:color="auto"/>
            <w:left w:val="none" w:sz="0" w:space="0" w:color="auto"/>
            <w:bottom w:val="none" w:sz="0" w:space="0" w:color="auto"/>
            <w:right w:val="none" w:sz="0" w:space="0" w:color="auto"/>
          </w:divBdr>
        </w:div>
        <w:div w:id="986668204">
          <w:marLeft w:val="0"/>
          <w:marRight w:val="0"/>
          <w:marTop w:val="0"/>
          <w:marBottom w:val="0"/>
          <w:divBdr>
            <w:top w:val="none" w:sz="0" w:space="0" w:color="auto"/>
            <w:left w:val="none" w:sz="0" w:space="0" w:color="auto"/>
            <w:bottom w:val="none" w:sz="0" w:space="0" w:color="auto"/>
            <w:right w:val="none" w:sz="0" w:space="0" w:color="auto"/>
          </w:divBdr>
        </w:div>
        <w:div w:id="1276476932">
          <w:marLeft w:val="0"/>
          <w:marRight w:val="0"/>
          <w:marTop w:val="0"/>
          <w:marBottom w:val="0"/>
          <w:divBdr>
            <w:top w:val="none" w:sz="0" w:space="0" w:color="auto"/>
            <w:left w:val="none" w:sz="0" w:space="0" w:color="auto"/>
            <w:bottom w:val="none" w:sz="0" w:space="0" w:color="auto"/>
            <w:right w:val="none" w:sz="0" w:space="0" w:color="auto"/>
          </w:divBdr>
        </w:div>
        <w:div w:id="106199529">
          <w:marLeft w:val="0"/>
          <w:marRight w:val="0"/>
          <w:marTop w:val="0"/>
          <w:marBottom w:val="0"/>
          <w:divBdr>
            <w:top w:val="none" w:sz="0" w:space="0" w:color="auto"/>
            <w:left w:val="none" w:sz="0" w:space="0" w:color="auto"/>
            <w:bottom w:val="none" w:sz="0" w:space="0" w:color="auto"/>
            <w:right w:val="none" w:sz="0" w:space="0" w:color="auto"/>
          </w:divBdr>
        </w:div>
      </w:divsChild>
    </w:div>
    <w:div w:id="2085449173">
      <w:bodyDiv w:val="1"/>
      <w:marLeft w:val="0"/>
      <w:marRight w:val="0"/>
      <w:marTop w:val="0"/>
      <w:marBottom w:val="0"/>
      <w:divBdr>
        <w:top w:val="none" w:sz="0" w:space="0" w:color="auto"/>
        <w:left w:val="none" w:sz="0" w:space="0" w:color="auto"/>
        <w:bottom w:val="none" w:sz="0" w:space="0" w:color="auto"/>
        <w:right w:val="none" w:sz="0" w:space="0" w:color="auto"/>
      </w:divBdr>
      <w:divsChild>
        <w:div w:id="106312380">
          <w:marLeft w:val="0"/>
          <w:marRight w:val="0"/>
          <w:marTop w:val="0"/>
          <w:marBottom w:val="0"/>
          <w:divBdr>
            <w:top w:val="none" w:sz="0" w:space="0" w:color="auto"/>
            <w:left w:val="none" w:sz="0" w:space="0" w:color="auto"/>
            <w:bottom w:val="none" w:sz="0" w:space="0" w:color="auto"/>
            <w:right w:val="none" w:sz="0" w:space="0" w:color="auto"/>
          </w:divBdr>
        </w:div>
        <w:div w:id="1648706983">
          <w:marLeft w:val="0"/>
          <w:marRight w:val="0"/>
          <w:marTop w:val="0"/>
          <w:marBottom w:val="0"/>
          <w:divBdr>
            <w:top w:val="none" w:sz="0" w:space="0" w:color="auto"/>
            <w:left w:val="none" w:sz="0" w:space="0" w:color="auto"/>
            <w:bottom w:val="none" w:sz="0" w:space="0" w:color="auto"/>
            <w:right w:val="none" w:sz="0" w:space="0" w:color="auto"/>
          </w:divBdr>
        </w:div>
        <w:div w:id="764808348">
          <w:marLeft w:val="0"/>
          <w:marRight w:val="0"/>
          <w:marTop w:val="0"/>
          <w:marBottom w:val="0"/>
          <w:divBdr>
            <w:top w:val="none" w:sz="0" w:space="0" w:color="auto"/>
            <w:left w:val="none" w:sz="0" w:space="0" w:color="auto"/>
            <w:bottom w:val="none" w:sz="0" w:space="0" w:color="auto"/>
            <w:right w:val="none" w:sz="0" w:space="0" w:color="auto"/>
          </w:divBdr>
        </w:div>
        <w:div w:id="1129325975">
          <w:marLeft w:val="0"/>
          <w:marRight w:val="0"/>
          <w:marTop w:val="0"/>
          <w:marBottom w:val="0"/>
          <w:divBdr>
            <w:top w:val="none" w:sz="0" w:space="0" w:color="auto"/>
            <w:left w:val="none" w:sz="0" w:space="0" w:color="auto"/>
            <w:bottom w:val="none" w:sz="0" w:space="0" w:color="auto"/>
            <w:right w:val="none" w:sz="0" w:space="0" w:color="auto"/>
          </w:divBdr>
        </w:div>
        <w:div w:id="423571447">
          <w:marLeft w:val="0"/>
          <w:marRight w:val="0"/>
          <w:marTop w:val="0"/>
          <w:marBottom w:val="0"/>
          <w:divBdr>
            <w:top w:val="none" w:sz="0" w:space="0" w:color="auto"/>
            <w:left w:val="none" w:sz="0" w:space="0" w:color="auto"/>
            <w:bottom w:val="none" w:sz="0" w:space="0" w:color="auto"/>
            <w:right w:val="none" w:sz="0" w:space="0" w:color="auto"/>
          </w:divBdr>
        </w:div>
        <w:div w:id="591398297">
          <w:marLeft w:val="0"/>
          <w:marRight w:val="0"/>
          <w:marTop w:val="0"/>
          <w:marBottom w:val="0"/>
          <w:divBdr>
            <w:top w:val="none" w:sz="0" w:space="0" w:color="auto"/>
            <w:left w:val="none" w:sz="0" w:space="0" w:color="auto"/>
            <w:bottom w:val="none" w:sz="0" w:space="0" w:color="auto"/>
            <w:right w:val="none" w:sz="0" w:space="0" w:color="auto"/>
          </w:divBdr>
        </w:div>
        <w:div w:id="1209225814">
          <w:marLeft w:val="0"/>
          <w:marRight w:val="0"/>
          <w:marTop w:val="0"/>
          <w:marBottom w:val="0"/>
          <w:divBdr>
            <w:top w:val="none" w:sz="0" w:space="0" w:color="auto"/>
            <w:left w:val="none" w:sz="0" w:space="0" w:color="auto"/>
            <w:bottom w:val="none" w:sz="0" w:space="0" w:color="auto"/>
            <w:right w:val="none" w:sz="0" w:space="0" w:color="auto"/>
          </w:divBdr>
        </w:div>
        <w:div w:id="1061707444">
          <w:marLeft w:val="0"/>
          <w:marRight w:val="0"/>
          <w:marTop w:val="0"/>
          <w:marBottom w:val="0"/>
          <w:divBdr>
            <w:top w:val="none" w:sz="0" w:space="0" w:color="auto"/>
            <w:left w:val="none" w:sz="0" w:space="0" w:color="auto"/>
            <w:bottom w:val="none" w:sz="0" w:space="0" w:color="auto"/>
            <w:right w:val="none" w:sz="0" w:space="0" w:color="auto"/>
          </w:divBdr>
        </w:div>
        <w:div w:id="1284119430">
          <w:marLeft w:val="0"/>
          <w:marRight w:val="0"/>
          <w:marTop w:val="0"/>
          <w:marBottom w:val="0"/>
          <w:divBdr>
            <w:top w:val="none" w:sz="0" w:space="0" w:color="auto"/>
            <w:left w:val="none" w:sz="0" w:space="0" w:color="auto"/>
            <w:bottom w:val="none" w:sz="0" w:space="0" w:color="auto"/>
            <w:right w:val="none" w:sz="0" w:space="0" w:color="auto"/>
          </w:divBdr>
        </w:div>
        <w:div w:id="1728265128">
          <w:marLeft w:val="0"/>
          <w:marRight w:val="0"/>
          <w:marTop w:val="0"/>
          <w:marBottom w:val="0"/>
          <w:divBdr>
            <w:top w:val="none" w:sz="0" w:space="0" w:color="auto"/>
            <w:left w:val="none" w:sz="0" w:space="0" w:color="auto"/>
            <w:bottom w:val="none" w:sz="0" w:space="0" w:color="auto"/>
            <w:right w:val="none" w:sz="0" w:space="0" w:color="auto"/>
          </w:divBdr>
        </w:div>
        <w:div w:id="1158227553">
          <w:marLeft w:val="0"/>
          <w:marRight w:val="0"/>
          <w:marTop w:val="0"/>
          <w:marBottom w:val="0"/>
          <w:divBdr>
            <w:top w:val="none" w:sz="0" w:space="0" w:color="auto"/>
            <w:left w:val="none" w:sz="0" w:space="0" w:color="auto"/>
            <w:bottom w:val="none" w:sz="0" w:space="0" w:color="auto"/>
            <w:right w:val="none" w:sz="0" w:space="0" w:color="auto"/>
          </w:divBdr>
        </w:div>
        <w:div w:id="1994792435">
          <w:marLeft w:val="0"/>
          <w:marRight w:val="0"/>
          <w:marTop w:val="0"/>
          <w:marBottom w:val="0"/>
          <w:divBdr>
            <w:top w:val="none" w:sz="0" w:space="0" w:color="auto"/>
            <w:left w:val="none" w:sz="0" w:space="0" w:color="auto"/>
            <w:bottom w:val="none" w:sz="0" w:space="0" w:color="auto"/>
            <w:right w:val="none" w:sz="0" w:space="0" w:color="auto"/>
          </w:divBdr>
        </w:div>
        <w:div w:id="174930771">
          <w:marLeft w:val="0"/>
          <w:marRight w:val="0"/>
          <w:marTop w:val="0"/>
          <w:marBottom w:val="0"/>
          <w:divBdr>
            <w:top w:val="none" w:sz="0" w:space="0" w:color="auto"/>
            <w:left w:val="none" w:sz="0" w:space="0" w:color="auto"/>
            <w:bottom w:val="none" w:sz="0" w:space="0" w:color="auto"/>
            <w:right w:val="none" w:sz="0" w:space="0" w:color="auto"/>
          </w:divBdr>
        </w:div>
        <w:div w:id="1761952233">
          <w:marLeft w:val="0"/>
          <w:marRight w:val="0"/>
          <w:marTop w:val="0"/>
          <w:marBottom w:val="0"/>
          <w:divBdr>
            <w:top w:val="none" w:sz="0" w:space="0" w:color="auto"/>
            <w:left w:val="none" w:sz="0" w:space="0" w:color="auto"/>
            <w:bottom w:val="none" w:sz="0" w:space="0" w:color="auto"/>
            <w:right w:val="none" w:sz="0" w:space="0" w:color="auto"/>
          </w:divBdr>
        </w:div>
        <w:div w:id="289213850">
          <w:marLeft w:val="0"/>
          <w:marRight w:val="0"/>
          <w:marTop w:val="0"/>
          <w:marBottom w:val="0"/>
          <w:divBdr>
            <w:top w:val="none" w:sz="0" w:space="0" w:color="auto"/>
            <w:left w:val="none" w:sz="0" w:space="0" w:color="auto"/>
            <w:bottom w:val="none" w:sz="0" w:space="0" w:color="auto"/>
            <w:right w:val="none" w:sz="0" w:space="0" w:color="auto"/>
          </w:divBdr>
        </w:div>
        <w:div w:id="1476797769">
          <w:marLeft w:val="0"/>
          <w:marRight w:val="0"/>
          <w:marTop w:val="0"/>
          <w:marBottom w:val="0"/>
          <w:divBdr>
            <w:top w:val="none" w:sz="0" w:space="0" w:color="auto"/>
            <w:left w:val="none" w:sz="0" w:space="0" w:color="auto"/>
            <w:bottom w:val="none" w:sz="0" w:space="0" w:color="auto"/>
            <w:right w:val="none" w:sz="0" w:space="0" w:color="auto"/>
          </w:divBdr>
        </w:div>
        <w:div w:id="2074231049">
          <w:marLeft w:val="0"/>
          <w:marRight w:val="0"/>
          <w:marTop w:val="0"/>
          <w:marBottom w:val="0"/>
          <w:divBdr>
            <w:top w:val="none" w:sz="0" w:space="0" w:color="auto"/>
            <w:left w:val="none" w:sz="0" w:space="0" w:color="auto"/>
            <w:bottom w:val="none" w:sz="0" w:space="0" w:color="auto"/>
            <w:right w:val="none" w:sz="0" w:space="0" w:color="auto"/>
          </w:divBdr>
        </w:div>
        <w:div w:id="410393826">
          <w:marLeft w:val="0"/>
          <w:marRight w:val="0"/>
          <w:marTop w:val="0"/>
          <w:marBottom w:val="0"/>
          <w:divBdr>
            <w:top w:val="none" w:sz="0" w:space="0" w:color="auto"/>
            <w:left w:val="none" w:sz="0" w:space="0" w:color="auto"/>
            <w:bottom w:val="none" w:sz="0" w:space="0" w:color="auto"/>
            <w:right w:val="none" w:sz="0" w:space="0" w:color="auto"/>
          </w:divBdr>
        </w:div>
        <w:div w:id="160127075">
          <w:marLeft w:val="0"/>
          <w:marRight w:val="0"/>
          <w:marTop w:val="0"/>
          <w:marBottom w:val="0"/>
          <w:divBdr>
            <w:top w:val="none" w:sz="0" w:space="0" w:color="auto"/>
            <w:left w:val="none" w:sz="0" w:space="0" w:color="auto"/>
            <w:bottom w:val="none" w:sz="0" w:space="0" w:color="auto"/>
            <w:right w:val="none" w:sz="0" w:space="0" w:color="auto"/>
          </w:divBdr>
        </w:div>
        <w:div w:id="1816684429">
          <w:marLeft w:val="0"/>
          <w:marRight w:val="0"/>
          <w:marTop w:val="0"/>
          <w:marBottom w:val="0"/>
          <w:divBdr>
            <w:top w:val="none" w:sz="0" w:space="0" w:color="auto"/>
            <w:left w:val="none" w:sz="0" w:space="0" w:color="auto"/>
            <w:bottom w:val="none" w:sz="0" w:space="0" w:color="auto"/>
            <w:right w:val="none" w:sz="0" w:space="0" w:color="auto"/>
          </w:divBdr>
        </w:div>
        <w:div w:id="66914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2020-04-26T12:18:00Z</dcterms:created>
  <dcterms:modified xsi:type="dcterms:W3CDTF">2020-04-26T12:18:00Z</dcterms:modified>
</cp:coreProperties>
</file>