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66" w:rsidRPr="00C13F66" w:rsidRDefault="00C13F66" w:rsidP="00C13F66">
      <w:pPr>
        <w:jc w:val="center"/>
        <w:rPr>
          <w:sz w:val="32"/>
          <w:szCs w:val="32"/>
          <w:lang w:bidi="ar-EG"/>
        </w:rPr>
      </w:pPr>
      <w:bookmarkStart w:id="0" w:name="Anchor1"/>
      <w:bookmarkEnd w:id="0"/>
      <w:r w:rsidRPr="00C13F66">
        <w:rPr>
          <w:sz w:val="32"/>
          <w:szCs w:val="32"/>
          <w:rtl/>
        </w:rPr>
        <w:t xml:space="preserve">الطعن رقم </w:t>
      </w:r>
      <w:bookmarkStart w:id="1" w:name="_GoBack"/>
      <w:bookmarkEnd w:id="1"/>
      <w:r w:rsidRPr="00C13F66">
        <w:rPr>
          <w:sz w:val="32"/>
          <w:szCs w:val="32"/>
          <w:rtl/>
        </w:rPr>
        <w:t>263/2013</w:t>
      </w:r>
    </w:p>
    <w:p w:rsidR="00C13F66" w:rsidRPr="00C13F66" w:rsidRDefault="00C13F66" w:rsidP="00C13F66">
      <w:pPr>
        <w:rPr>
          <w:sz w:val="32"/>
          <w:szCs w:val="32"/>
          <w:lang w:bidi="ar-EG"/>
        </w:rPr>
      </w:pPr>
      <w:bookmarkStart w:id="2" w:name="Anchor6"/>
      <w:bookmarkEnd w:id="2"/>
      <w:r w:rsidRPr="00C13F66">
        <w:rPr>
          <w:sz w:val="32"/>
          <w:szCs w:val="32"/>
          <w:rtl/>
        </w:rPr>
        <w:t>هيئة المحكمة</w:t>
      </w:r>
      <w:r w:rsidRPr="00C13F66">
        <w:rPr>
          <w:sz w:val="32"/>
          <w:szCs w:val="32"/>
          <w:lang w:bidi="ar-EG"/>
        </w:rPr>
        <w:t xml:space="preserve">: </w:t>
      </w:r>
      <w:r w:rsidRPr="00C13F66">
        <w:rPr>
          <w:sz w:val="32"/>
          <w:szCs w:val="32"/>
          <w:rtl/>
        </w:rPr>
        <w:t>برئاسة السيد المستشار عبـد الــعزيز الفـــــهد وكيل المحكمة وعضوية السادة المستشارين يوسف العمران ومصطفي ثابت ومحمود التركاوي وعبد الرحمن مطاوع</w:t>
      </w:r>
    </w:p>
    <w:bookmarkStart w:id="3" w:name="Anchor23"/>
    <w:bookmarkEnd w:id="3"/>
    <w:p w:rsidR="00C13F66" w:rsidRPr="00C13F66" w:rsidRDefault="00C13F66" w:rsidP="00C13F66">
      <w:pPr>
        <w:rPr>
          <w:sz w:val="32"/>
          <w:szCs w:val="32"/>
          <w:lang w:bidi="ar-EG"/>
        </w:rPr>
      </w:pPr>
      <w:r w:rsidRPr="00C13F66">
        <w:rPr>
          <w:sz w:val="32"/>
          <w:szCs w:val="32"/>
          <w:lang w:bidi="ar-EG"/>
        </w:rPr>
        <w:fldChar w:fldCharType="begin"/>
      </w:r>
      <w:r w:rsidRPr="00C13F66">
        <w:rPr>
          <w:sz w:val="32"/>
          <w:szCs w:val="32"/>
          <w:lang w:bidi="ar-EG"/>
        </w:rPr>
        <w:instrText xml:space="preserve"> HYPERLINK "http://www.law.gov.kw/KWT_CC-Ar/00_2014/00_%D8%A7%D9%84%D8%AF%D8%A7%D8%A6%D8%B1%D8%A9%20%D8%A7%D9%84%D8%AA%D8%AC%D8%A7%D8%B1%D9%8A%D8%A9/KWT-CC-Ar_2014-06-16_00263_Taan.html" \l "TM2014_263_1" </w:instrText>
      </w:r>
      <w:r w:rsidRPr="00C13F66">
        <w:rPr>
          <w:sz w:val="32"/>
          <w:szCs w:val="32"/>
          <w:lang w:bidi="ar-EG"/>
        </w:rPr>
        <w:fldChar w:fldCharType="separate"/>
      </w:r>
      <w:r w:rsidRPr="00C13F66">
        <w:rPr>
          <w:rStyle w:val="Hyperlink"/>
          <w:sz w:val="32"/>
          <w:szCs w:val="32"/>
          <w:lang w:bidi="ar-EG"/>
        </w:rPr>
        <w:t xml:space="preserve">1- </w:t>
      </w:r>
      <w:r w:rsidRPr="00C13F66">
        <w:rPr>
          <w:rStyle w:val="Hyperlink"/>
          <w:sz w:val="32"/>
          <w:szCs w:val="32"/>
          <w:rtl/>
        </w:rPr>
        <w:t>إن لمحكمة الموضوع السلطة في تحصيل وفهم الواقع في الدعوى وتقدير الأدلة فيها والترجيح بينها وتقدير أقوال الشهود دون رقابة محكمة التمييز شرط عدم خروجها عن مدلول تلك الأقوال</w:t>
      </w:r>
      <w:r w:rsidRPr="00C13F66">
        <w:rPr>
          <w:rStyle w:val="Hyperlink"/>
          <w:sz w:val="32"/>
          <w:szCs w:val="32"/>
          <w:lang w:bidi="ar-EG"/>
        </w:rPr>
        <w:t>.</w:t>
      </w:r>
      <w:r w:rsidRPr="00C13F66">
        <w:rPr>
          <w:sz w:val="32"/>
          <w:szCs w:val="32"/>
          <w:lang w:bidi="ar-EG"/>
        </w:rPr>
        <w:fldChar w:fldCharType="end"/>
      </w:r>
    </w:p>
    <w:bookmarkStart w:id="4" w:name="Anchor42"/>
    <w:bookmarkEnd w:id="4"/>
    <w:p w:rsidR="00C13F66" w:rsidRPr="00C13F66" w:rsidRDefault="00C13F66" w:rsidP="00C13F66">
      <w:pPr>
        <w:rPr>
          <w:sz w:val="32"/>
          <w:szCs w:val="32"/>
          <w:lang w:bidi="ar-EG"/>
        </w:rPr>
      </w:pPr>
      <w:r w:rsidRPr="00C13F66">
        <w:rPr>
          <w:sz w:val="32"/>
          <w:szCs w:val="32"/>
          <w:lang w:bidi="ar-EG"/>
        </w:rPr>
        <w:fldChar w:fldCharType="begin"/>
      </w:r>
      <w:r w:rsidRPr="00C13F66">
        <w:rPr>
          <w:sz w:val="32"/>
          <w:szCs w:val="32"/>
          <w:lang w:bidi="ar-EG"/>
        </w:rPr>
        <w:instrText xml:space="preserve"> HYPERLINK "http://www.law.gov.kw/KWT_CC-Ar/00_2014/00_%D8%A7%D9%84%D8%AF%D8%A7%D8%A6%D8%B1%D8%A9%20%D8%A7%D9%84%D8%AA%D8%AC%D8%A7%D8%B1%D9%8A%D8%A9/KWT-CC-Ar_2014-06-16_00263_Taan.html" \l "TM2014_263_2" </w:instrText>
      </w:r>
      <w:r w:rsidRPr="00C13F66">
        <w:rPr>
          <w:sz w:val="32"/>
          <w:szCs w:val="32"/>
          <w:lang w:bidi="ar-EG"/>
        </w:rPr>
        <w:fldChar w:fldCharType="separate"/>
      </w:r>
      <w:r w:rsidRPr="00C13F66">
        <w:rPr>
          <w:rStyle w:val="Hyperlink"/>
          <w:sz w:val="32"/>
          <w:szCs w:val="32"/>
          <w:lang w:bidi="ar-EG"/>
        </w:rPr>
        <w:t xml:space="preserve">2- </w:t>
      </w:r>
      <w:r w:rsidRPr="00C13F66">
        <w:rPr>
          <w:rStyle w:val="Hyperlink"/>
          <w:sz w:val="32"/>
          <w:szCs w:val="32"/>
          <w:rtl/>
        </w:rPr>
        <w:t>إن محكمة الموضوع غير ملزمة بندب خبير آخر في الدعوى أو إعادة الدعوى للخبراء طالما وجدت في أوراق الدعوى ما يكفي لتكوين عقيدتها</w:t>
      </w:r>
      <w:r w:rsidRPr="00C13F66">
        <w:rPr>
          <w:rStyle w:val="Hyperlink"/>
          <w:sz w:val="32"/>
          <w:szCs w:val="32"/>
          <w:lang w:bidi="ar-EG"/>
        </w:rPr>
        <w:t>.</w:t>
      </w:r>
      <w:r w:rsidRPr="00C13F66">
        <w:rPr>
          <w:sz w:val="32"/>
          <w:szCs w:val="32"/>
          <w:lang w:bidi="ar-EG"/>
        </w:rPr>
        <w:fldChar w:fldCharType="end"/>
      </w:r>
    </w:p>
    <w:bookmarkStart w:id="5" w:name="Anchor56"/>
    <w:bookmarkEnd w:id="5"/>
    <w:p w:rsidR="00C13F66" w:rsidRPr="00C13F66" w:rsidRDefault="00C13F66" w:rsidP="00C13F66">
      <w:pPr>
        <w:rPr>
          <w:sz w:val="32"/>
          <w:szCs w:val="32"/>
          <w:lang w:bidi="ar-EG"/>
        </w:rPr>
      </w:pPr>
      <w:r w:rsidRPr="00C13F66">
        <w:rPr>
          <w:sz w:val="32"/>
          <w:szCs w:val="32"/>
          <w:lang w:bidi="ar-EG"/>
        </w:rPr>
        <w:fldChar w:fldCharType="begin"/>
      </w:r>
      <w:r w:rsidRPr="00C13F66">
        <w:rPr>
          <w:sz w:val="32"/>
          <w:szCs w:val="32"/>
          <w:lang w:bidi="ar-EG"/>
        </w:rPr>
        <w:instrText xml:space="preserve"> HYPERLINK "http://www.law.gov.kw/KWT_CC-Ar/00_2014/00_%D8%A7%D9%84%D8%AF%D8%A7%D8%A6%D8%B1%D8%A9%20%D8%A7%D9%84%D8%AA%D8%AC%D8%A7%D8%B1%D9%8A%D8%A9/KWT-CC-Ar_2014-06-16_00263_Taan.html" \l "TM2014_263_3" </w:instrText>
      </w:r>
      <w:r w:rsidRPr="00C13F66">
        <w:rPr>
          <w:sz w:val="32"/>
          <w:szCs w:val="32"/>
          <w:lang w:bidi="ar-EG"/>
        </w:rPr>
        <w:fldChar w:fldCharType="separate"/>
      </w:r>
      <w:r w:rsidRPr="00C13F66">
        <w:rPr>
          <w:rStyle w:val="Hyperlink"/>
          <w:sz w:val="32"/>
          <w:szCs w:val="32"/>
          <w:lang w:bidi="ar-EG"/>
        </w:rPr>
        <w:t xml:space="preserve">3- </w:t>
      </w:r>
      <w:r w:rsidRPr="00C13F66">
        <w:rPr>
          <w:rStyle w:val="Hyperlink"/>
          <w:sz w:val="32"/>
          <w:szCs w:val="32"/>
          <w:rtl/>
        </w:rPr>
        <w:t>إن الجدل حول عدم أخذ محكمة الموضوع بأقوال الشهود وعدم إعادة أوراق الدعوى الى إدارة الخبراء هو جدل موضوعي غير جائز أمام محكمة التمييز</w:t>
      </w:r>
      <w:r w:rsidRPr="00C13F66">
        <w:rPr>
          <w:rStyle w:val="Hyperlink"/>
          <w:sz w:val="32"/>
          <w:szCs w:val="32"/>
          <w:lang w:bidi="ar-EG"/>
        </w:rPr>
        <w:t>.</w:t>
      </w:r>
      <w:r w:rsidRPr="00C13F66">
        <w:rPr>
          <w:sz w:val="32"/>
          <w:szCs w:val="32"/>
          <w:lang w:bidi="ar-EG"/>
        </w:rPr>
        <w:fldChar w:fldCharType="end"/>
      </w:r>
      <w:r w:rsidRPr="00C13F66">
        <w:rPr>
          <w:sz w:val="32"/>
          <w:szCs w:val="32"/>
          <w:lang w:bidi="ar-EG"/>
        </w:rPr>
        <w:br/>
      </w:r>
      <w:r w:rsidRPr="00C13F66">
        <w:rPr>
          <w:sz w:val="32"/>
          <w:szCs w:val="32"/>
          <w:lang w:bidi="ar-EG"/>
        </w:rPr>
        <w:br/>
      </w:r>
      <w:r w:rsidRPr="00C13F66">
        <w:rPr>
          <w:sz w:val="32"/>
          <w:szCs w:val="32"/>
          <w:u w:val="single"/>
          <w:rtl/>
        </w:rPr>
        <w:t>ملاحظة</w:t>
      </w:r>
      <w:r w:rsidRPr="00C13F66">
        <w:rPr>
          <w:sz w:val="32"/>
          <w:szCs w:val="32"/>
          <w:u w:val="single"/>
          <w:lang w:bidi="ar-EG"/>
        </w:rPr>
        <w:t xml:space="preserve"> :</w:t>
      </w:r>
      <w:r w:rsidRPr="00C13F66">
        <w:rPr>
          <w:sz w:val="32"/>
          <w:szCs w:val="32"/>
          <w:lang w:bidi="ar-EG"/>
        </w:rPr>
        <w:br/>
      </w:r>
      <w:r w:rsidRPr="00C13F6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13F66" w:rsidRPr="00C13F66" w:rsidRDefault="00C13F66" w:rsidP="00C13F66">
      <w:pPr>
        <w:rPr>
          <w:sz w:val="32"/>
          <w:szCs w:val="32"/>
          <w:lang w:bidi="ar-EG"/>
        </w:rPr>
      </w:pPr>
      <w:bookmarkStart w:id="6" w:name="Anchor71"/>
      <w:bookmarkEnd w:id="6"/>
      <w:r w:rsidRPr="00C13F66">
        <w:rPr>
          <w:b/>
          <w:bCs/>
          <w:sz w:val="32"/>
          <w:szCs w:val="32"/>
          <w:rtl/>
        </w:rPr>
        <w:t>المحكمة</w:t>
      </w:r>
    </w:p>
    <w:p w:rsidR="00C13F66" w:rsidRPr="00C13F66" w:rsidRDefault="00C13F66" w:rsidP="00C13F66">
      <w:pPr>
        <w:rPr>
          <w:sz w:val="32"/>
          <w:szCs w:val="32"/>
          <w:lang w:bidi="ar-EG"/>
        </w:rPr>
      </w:pPr>
      <w:bookmarkStart w:id="7" w:name="Anchor72"/>
      <w:bookmarkEnd w:id="7"/>
      <w:r w:rsidRPr="00C13F66">
        <w:rPr>
          <w:sz w:val="32"/>
          <w:szCs w:val="32"/>
          <w:rtl/>
        </w:rPr>
        <w:t>بعد الاطلاع على الأوراق والمداولة</w:t>
      </w:r>
      <w:r w:rsidRPr="00C13F66">
        <w:rPr>
          <w:sz w:val="32"/>
          <w:szCs w:val="32"/>
          <w:lang w:bidi="ar-EG"/>
        </w:rPr>
        <w:t>.</w:t>
      </w:r>
    </w:p>
    <w:p w:rsidR="00C13F66" w:rsidRPr="00C13F66" w:rsidRDefault="00C13F66" w:rsidP="00C13F66">
      <w:pPr>
        <w:rPr>
          <w:sz w:val="32"/>
          <w:szCs w:val="32"/>
          <w:lang w:bidi="ar-EG"/>
        </w:rPr>
      </w:pPr>
      <w:bookmarkStart w:id="8" w:name="Anchor77"/>
      <w:bookmarkEnd w:id="8"/>
      <w:r w:rsidRPr="00C13F66">
        <w:rPr>
          <w:sz w:val="32"/>
          <w:szCs w:val="32"/>
          <w:rtl/>
        </w:rPr>
        <w:t xml:space="preserve">لما كان </w:t>
      </w:r>
      <w:bookmarkStart w:id="9" w:name="TM2014_263_1"/>
      <w:bookmarkEnd w:id="9"/>
      <w:r w:rsidRPr="00C13F66">
        <w:rPr>
          <w:b/>
          <w:bCs/>
          <w:sz w:val="32"/>
          <w:szCs w:val="32"/>
          <w:rtl/>
        </w:rPr>
        <w:t>من المقرر أن لمحكمة الموضوع السلطة في تحصيل وفهم الواقع في الدعوي وتقدير ما يقدم اليها من الأدلة وترجيح ما تطمئن اليه منها وإستخلاص ما تراه متفقاً مع واقع الدعوي ولها السلطة في تقدير أقوال الشهود وترجيح ما يطمئن اليها منها بإعتبار ذلك من إطلاقات محكمة الموضوع ولا رقابة لمحكمة التمييز عليها في ذلك ما دامت لم تخرج بتلك الأقوال عن مدلولها</w:t>
      </w:r>
      <w:r w:rsidRPr="00C13F66">
        <w:rPr>
          <w:sz w:val="32"/>
          <w:szCs w:val="32"/>
          <w:rtl/>
        </w:rPr>
        <w:t xml:space="preserve"> كما أنه </w:t>
      </w:r>
      <w:bookmarkStart w:id="10" w:name="TM2014_263_2"/>
      <w:bookmarkEnd w:id="10"/>
      <w:r w:rsidRPr="00C13F66">
        <w:rPr>
          <w:b/>
          <w:bCs/>
          <w:sz w:val="32"/>
          <w:szCs w:val="32"/>
          <w:rtl/>
        </w:rPr>
        <w:t>من المقرر أن محكمة الموضوع غير ملزمة بندب خبير أخر في الدعوى أو إعادة الدعوى للخبراء طالما وجدت في أوراقها ومستنداتها ما يكفى لتكوين عقيدتها،</w:t>
      </w:r>
    </w:p>
    <w:p w:rsidR="00C13F66" w:rsidRPr="00C13F66" w:rsidRDefault="00C13F66" w:rsidP="00C13F66">
      <w:pPr>
        <w:rPr>
          <w:sz w:val="32"/>
          <w:szCs w:val="32"/>
          <w:lang w:bidi="ar-EG"/>
        </w:rPr>
      </w:pPr>
      <w:bookmarkStart w:id="11" w:name="Anchor130"/>
      <w:bookmarkStart w:id="12" w:name="TM2014_263_3"/>
      <w:bookmarkEnd w:id="11"/>
      <w:bookmarkEnd w:id="12"/>
      <w:r w:rsidRPr="00C13F66">
        <w:rPr>
          <w:b/>
          <w:bCs/>
          <w:sz w:val="32"/>
          <w:szCs w:val="32"/>
          <w:rtl/>
        </w:rPr>
        <w:t xml:space="preserve">وكان الحكم المطعون فيه المؤيد للحكم الابتدائي والمكمل له قد أنتهي الى إطمئنانه لأقوال شهود المطعون ضده من أن الطاعنة أشترت من الأخير مصوغات ذهبية طبقاً للفواتير والمستندات المقدمة في الدعوي وأنها كانت تسدد له قيمتها على أقساط مختلفة القيمة وتحصل على ايصالات بالمبالغ المسددة وأنتهى الحكم من </w:t>
      </w:r>
      <w:r w:rsidRPr="00C13F66">
        <w:rPr>
          <w:b/>
          <w:bCs/>
          <w:sz w:val="32"/>
          <w:szCs w:val="32"/>
          <w:rtl/>
        </w:rPr>
        <w:lastRenderedPageBreak/>
        <w:t xml:space="preserve">ذلك الى أن الطاعنة ذمتها مشغولة مبلغ 62020 د.ك إستناداً الى تقرير الخبير المنتدب من محكمة أول درجة وشهادة الشهود وخلص الحكم </w:t>
      </w:r>
      <w:r w:rsidRPr="00C13F66">
        <w:rPr>
          <w:b/>
          <w:bCs/>
          <w:sz w:val="32"/>
          <w:szCs w:val="32"/>
          <w:lang w:bidi="ar-EG"/>
        </w:rPr>
        <w:t xml:space="preserve">- </w:t>
      </w:r>
      <w:r w:rsidRPr="00C13F66">
        <w:rPr>
          <w:b/>
          <w:bCs/>
          <w:sz w:val="32"/>
          <w:szCs w:val="32"/>
          <w:rtl/>
        </w:rPr>
        <w:t>ذلك الى الزام الطاعنة بالمبلغ المقضي به، ولما كان هذا الاستخلاص سائغاً له معنيه الثابتة بالأوراق ومؤدي الى النتيجة التي أنتهي اليها، ومن ثم فإن ما تنعاه الطاعنة بسببي طعنها من أن المحكمة لم تأخذ بأقوال شهودها وانها لم تعيد الأوراق الى إدارة الخبراء وأنها قامت بسداد بعض المبالغ المطالب بها فهى لا تعدو أن تكون جدل في سلطة محكمة الموضوع في تقدير الأدلة وهو لا يجوز إثارته أمام هذه المحكمة، مما يتعين معه التقرير بعدم قبول الطعن عملاً بالمادتين 152، 154/5 من قانون المرافعات</w:t>
      </w:r>
      <w:r w:rsidRPr="00C13F66">
        <w:rPr>
          <w:b/>
          <w:bCs/>
          <w:sz w:val="32"/>
          <w:szCs w:val="32"/>
          <w:lang w:bidi="ar-EG"/>
        </w:rPr>
        <w:t>.</w:t>
      </w:r>
    </w:p>
    <w:p w:rsidR="00C13F66" w:rsidRPr="00C13F66" w:rsidRDefault="00C13F66" w:rsidP="00C13F66">
      <w:pPr>
        <w:rPr>
          <w:sz w:val="32"/>
          <w:szCs w:val="32"/>
          <w:lang w:bidi="ar-EG"/>
        </w:rPr>
      </w:pPr>
      <w:bookmarkStart w:id="13" w:name="Anchor216"/>
      <w:bookmarkEnd w:id="13"/>
      <w:r w:rsidRPr="00C13F66">
        <w:rPr>
          <w:b/>
          <w:bCs/>
          <w:sz w:val="32"/>
          <w:szCs w:val="32"/>
          <w:rtl/>
        </w:rPr>
        <w:t>لذلك</w:t>
      </w:r>
    </w:p>
    <w:p w:rsidR="00C13F66" w:rsidRPr="00C13F66" w:rsidRDefault="00C13F66" w:rsidP="00C13F66">
      <w:pPr>
        <w:rPr>
          <w:sz w:val="32"/>
          <w:szCs w:val="32"/>
          <w:lang w:bidi="ar-EG"/>
        </w:rPr>
      </w:pPr>
      <w:bookmarkStart w:id="14" w:name="Anchor217"/>
      <w:bookmarkEnd w:id="14"/>
      <w:r w:rsidRPr="00C13F66">
        <w:rPr>
          <w:sz w:val="32"/>
          <w:szCs w:val="32"/>
          <w:rtl/>
        </w:rPr>
        <w:t xml:space="preserve">قررت المحكمة </w:t>
      </w:r>
      <w:r w:rsidRPr="00C13F66">
        <w:rPr>
          <w:sz w:val="32"/>
          <w:szCs w:val="32"/>
          <w:lang w:bidi="ar-EG"/>
        </w:rPr>
        <w:t xml:space="preserve">- </w:t>
      </w:r>
      <w:r w:rsidRPr="00C13F66">
        <w:rPr>
          <w:sz w:val="32"/>
          <w:szCs w:val="32"/>
          <w:rtl/>
        </w:rPr>
        <w:t xml:space="preserve">في غرفة المشورة </w:t>
      </w:r>
      <w:r w:rsidRPr="00C13F66">
        <w:rPr>
          <w:sz w:val="32"/>
          <w:szCs w:val="32"/>
          <w:lang w:bidi="ar-EG"/>
        </w:rPr>
        <w:t xml:space="preserve">- </w:t>
      </w:r>
      <w:r w:rsidRPr="00C13F66">
        <w:rPr>
          <w:sz w:val="32"/>
          <w:szCs w:val="32"/>
          <w:rtl/>
        </w:rPr>
        <w:t>عدم قبول الطعن والزمت الطاعنة المصروفات وعشرين دينارا مقابل أتعاب المحاماة، مع مصادرة الكفالة</w:t>
      </w:r>
      <w:r w:rsidRPr="00C13F66">
        <w:rPr>
          <w:sz w:val="32"/>
          <w:szCs w:val="32"/>
          <w:lang w:bidi="ar-EG"/>
        </w:rPr>
        <w:t>.</w:t>
      </w:r>
    </w:p>
    <w:p w:rsidR="00C13F66" w:rsidRPr="00C13F66" w:rsidRDefault="00C13F66" w:rsidP="00C13F66">
      <w:pPr>
        <w:rPr>
          <w:sz w:val="32"/>
          <w:szCs w:val="32"/>
          <w:lang w:bidi="ar-EG"/>
        </w:rPr>
      </w:pPr>
    </w:p>
    <w:p w:rsidR="00C13F66" w:rsidRPr="00C13F66" w:rsidRDefault="00C13F66" w:rsidP="00C13F66">
      <w:pPr>
        <w:rPr>
          <w:sz w:val="32"/>
          <w:szCs w:val="32"/>
          <w:lang w:bidi="ar-EG"/>
        </w:rPr>
      </w:pPr>
      <w:bookmarkStart w:id="15" w:name="Anchor232"/>
      <w:bookmarkEnd w:id="15"/>
      <w:r w:rsidRPr="00C13F66">
        <w:rPr>
          <w:sz w:val="32"/>
          <w:szCs w:val="32"/>
          <w:lang w:bidi="ar-EG"/>
        </w:rPr>
        <w:t>* * *</w:t>
      </w:r>
    </w:p>
    <w:p w:rsidR="008C2BA0" w:rsidRPr="00C13F66" w:rsidRDefault="008C2BA0">
      <w:pPr>
        <w:rPr>
          <w:rFonts w:hint="cs"/>
          <w:sz w:val="32"/>
          <w:szCs w:val="32"/>
          <w:lang w:bidi="ar-EG"/>
        </w:rPr>
      </w:pPr>
    </w:p>
    <w:sectPr w:rsidR="008C2BA0" w:rsidRPr="00C13F6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CD"/>
    <w:rsid w:val="0003272B"/>
    <w:rsid w:val="008673CD"/>
    <w:rsid w:val="008C2BA0"/>
    <w:rsid w:val="00C1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31748">
      <w:bodyDiv w:val="1"/>
      <w:marLeft w:val="0"/>
      <w:marRight w:val="0"/>
      <w:marTop w:val="0"/>
      <w:marBottom w:val="0"/>
      <w:divBdr>
        <w:top w:val="none" w:sz="0" w:space="0" w:color="auto"/>
        <w:left w:val="none" w:sz="0" w:space="0" w:color="auto"/>
        <w:bottom w:val="none" w:sz="0" w:space="0" w:color="auto"/>
        <w:right w:val="none" w:sz="0" w:space="0" w:color="auto"/>
      </w:divBdr>
      <w:divsChild>
        <w:div w:id="1598519392">
          <w:marLeft w:val="0"/>
          <w:marRight w:val="0"/>
          <w:marTop w:val="0"/>
          <w:marBottom w:val="0"/>
          <w:divBdr>
            <w:top w:val="none" w:sz="0" w:space="0" w:color="auto"/>
            <w:left w:val="none" w:sz="0" w:space="0" w:color="auto"/>
            <w:bottom w:val="none" w:sz="0" w:space="0" w:color="auto"/>
            <w:right w:val="none" w:sz="0" w:space="0" w:color="auto"/>
          </w:divBdr>
        </w:div>
        <w:div w:id="580068725">
          <w:marLeft w:val="0"/>
          <w:marRight w:val="0"/>
          <w:marTop w:val="0"/>
          <w:marBottom w:val="0"/>
          <w:divBdr>
            <w:top w:val="none" w:sz="0" w:space="0" w:color="auto"/>
            <w:left w:val="none" w:sz="0" w:space="0" w:color="auto"/>
            <w:bottom w:val="none" w:sz="0" w:space="0" w:color="auto"/>
            <w:right w:val="none" w:sz="0" w:space="0" w:color="auto"/>
          </w:divBdr>
        </w:div>
        <w:div w:id="261307973">
          <w:marLeft w:val="0"/>
          <w:marRight w:val="0"/>
          <w:marTop w:val="0"/>
          <w:marBottom w:val="0"/>
          <w:divBdr>
            <w:top w:val="none" w:sz="0" w:space="0" w:color="auto"/>
            <w:left w:val="none" w:sz="0" w:space="0" w:color="auto"/>
            <w:bottom w:val="none" w:sz="0" w:space="0" w:color="auto"/>
            <w:right w:val="none" w:sz="0" w:space="0" w:color="auto"/>
          </w:divBdr>
        </w:div>
        <w:div w:id="2044476446">
          <w:marLeft w:val="0"/>
          <w:marRight w:val="0"/>
          <w:marTop w:val="0"/>
          <w:marBottom w:val="0"/>
          <w:divBdr>
            <w:top w:val="none" w:sz="0" w:space="0" w:color="auto"/>
            <w:left w:val="none" w:sz="0" w:space="0" w:color="auto"/>
            <w:bottom w:val="none" w:sz="0" w:space="0" w:color="auto"/>
            <w:right w:val="none" w:sz="0" w:space="0" w:color="auto"/>
          </w:divBdr>
        </w:div>
        <w:div w:id="1612545128">
          <w:marLeft w:val="0"/>
          <w:marRight w:val="0"/>
          <w:marTop w:val="0"/>
          <w:marBottom w:val="0"/>
          <w:divBdr>
            <w:top w:val="none" w:sz="0" w:space="0" w:color="auto"/>
            <w:left w:val="none" w:sz="0" w:space="0" w:color="auto"/>
            <w:bottom w:val="none" w:sz="0" w:space="0" w:color="auto"/>
            <w:right w:val="none" w:sz="0" w:space="0" w:color="auto"/>
          </w:divBdr>
        </w:div>
        <w:div w:id="1286541859">
          <w:marLeft w:val="0"/>
          <w:marRight w:val="0"/>
          <w:marTop w:val="0"/>
          <w:marBottom w:val="0"/>
          <w:divBdr>
            <w:top w:val="none" w:sz="0" w:space="0" w:color="auto"/>
            <w:left w:val="none" w:sz="0" w:space="0" w:color="auto"/>
            <w:bottom w:val="none" w:sz="0" w:space="0" w:color="auto"/>
            <w:right w:val="none" w:sz="0" w:space="0" w:color="auto"/>
          </w:divBdr>
        </w:div>
        <w:div w:id="1523470441">
          <w:marLeft w:val="0"/>
          <w:marRight w:val="0"/>
          <w:marTop w:val="0"/>
          <w:marBottom w:val="0"/>
          <w:divBdr>
            <w:top w:val="none" w:sz="0" w:space="0" w:color="auto"/>
            <w:left w:val="none" w:sz="0" w:space="0" w:color="auto"/>
            <w:bottom w:val="none" w:sz="0" w:space="0" w:color="auto"/>
            <w:right w:val="none" w:sz="0" w:space="0" w:color="auto"/>
          </w:divBdr>
        </w:div>
        <w:div w:id="1910144144">
          <w:marLeft w:val="0"/>
          <w:marRight w:val="0"/>
          <w:marTop w:val="0"/>
          <w:marBottom w:val="0"/>
          <w:divBdr>
            <w:top w:val="none" w:sz="0" w:space="0" w:color="auto"/>
            <w:left w:val="none" w:sz="0" w:space="0" w:color="auto"/>
            <w:bottom w:val="none" w:sz="0" w:space="0" w:color="auto"/>
            <w:right w:val="none" w:sz="0" w:space="0" w:color="auto"/>
          </w:divBdr>
        </w:div>
        <w:div w:id="1551765493">
          <w:marLeft w:val="0"/>
          <w:marRight w:val="0"/>
          <w:marTop w:val="0"/>
          <w:marBottom w:val="0"/>
          <w:divBdr>
            <w:top w:val="none" w:sz="0" w:space="0" w:color="auto"/>
            <w:left w:val="none" w:sz="0" w:space="0" w:color="auto"/>
            <w:bottom w:val="none" w:sz="0" w:space="0" w:color="auto"/>
            <w:right w:val="none" w:sz="0" w:space="0" w:color="auto"/>
          </w:divBdr>
        </w:div>
        <w:div w:id="1117456142">
          <w:marLeft w:val="0"/>
          <w:marRight w:val="0"/>
          <w:marTop w:val="0"/>
          <w:marBottom w:val="0"/>
          <w:divBdr>
            <w:top w:val="none" w:sz="0" w:space="0" w:color="auto"/>
            <w:left w:val="none" w:sz="0" w:space="0" w:color="auto"/>
            <w:bottom w:val="none" w:sz="0" w:space="0" w:color="auto"/>
            <w:right w:val="none" w:sz="0" w:space="0" w:color="auto"/>
          </w:divBdr>
        </w:div>
        <w:div w:id="854071684">
          <w:marLeft w:val="0"/>
          <w:marRight w:val="0"/>
          <w:marTop w:val="0"/>
          <w:marBottom w:val="0"/>
          <w:divBdr>
            <w:top w:val="none" w:sz="0" w:space="0" w:color="auto"/>
            <w:left w:val="none" w:sz="0" w:space="0" w:color="auto"/>
            <w:bottom w:val="none" w:sz="0" w:space="0" w:color="auto"/>
            <w:right w:val="none" w:sz="0" w:space="0" w:color="auto"/>
          </w:divBdr>
        </w:div>
        <w:div w:id="2078286829">
          <w:marLeft w:val="0"/>
          <w:marRight w:val="0"/>
          <w:marTop w:val="0"/>
          <w:marBottom w:val="0"/>
          <w:divBdr>
            <w:top w:val="none" w:sz="0" w:space="0" w:color="auto"/>
            <w:left w:val="none" w:sz="0" w:space="0" w:color="auto"/>
            <w:bottom w:val="none" w:sz="0" w:space="0" w:color="auto"/>
            <w:right w:val="none" w:sz="0" w:space="0" w:color="auto"/>
          </w:divBdr>
        </w:div>
      </w:divsChild>
    </w:div>
    <w:div w:id="1825509598">
      <w:bodyDiv w:val="1"/>
      <w:marLeft w:val="0"/>
      <w:marRight w:val="0"/>
      <w:marTop w:val="0"/>
      <w:marBottom w:val="0"/>
      <w:divBdr>
        <w:top w:val="none" w:sz="0" w:space="0" w:color="auto"/>
        <w:left w:val="none" w:sz="0" w:space="0" w:color="auto"/>
        <w:bottom w:val="none" w:sz="0" w:space="0" w:color="auto"/>
        <w:right w:val="none" w:sz="0" w:space="0" w:color="auto"/>
      </w:divBdr>
      <w:divsChild>
        <w:div w:id="1081100866">
          <w:marLeft w:val="0"/>
          <w:marRight w:val="0"/>
          <w:marTop w:val="0"/>
          <w:marBottom w:val="0"/>
          <w:divBdr>
            <w:top w:val="none" w:sz="0" w:space="0" w:color="auto"/>
            <w:left w:val="none" w:sz="0" w:space="0" w:color="auto"/>
            <w:bottom w:val="none" w:sz="0" w:space="0" w:color="auto"/>
            <w:right w:val="none" w:sz="0" w:space="0" w:color="auto"/>
          </w:divBdr>
        </w:div>
        <w:div w:id="1955672349">
          <w:marLeft w:val="0"/>
          <w:marRight w:val="0"/>
          <w:marTop w:val="0"/>
          <w:marBottom w:val="0"/>
          <w:divBdr>
            <w:top w:val="none" w:sz="0" w:space="0" w:color="auto"/>
            <w:left w:val="none" w:sz="0" w:space="0" w:color="auto"/>
            <w:bottom w:val="none" w:sz="0" w:space="0" w:color="auto"/>
            <w:right w:val="none" w:sz="0" w:space="0" w:color="auto"/>
          </w:divBdr>
        </w:div>
        <w:div w:id="1126895162">
          <w:marLeft w:val="0"/>
          <w:marRight w:val="0"/>
          <w:marTop w:val="0"/>
          <w:marBottom w:val="0"/>
          <w:divBdr>
            <w:top w:val="none" w:sz="0" w:space="0" w:color="auto"/>
            <w:left w:val="none" w:sz="0" w:space="0" w:color="auto"/>
            <w:bottom w:val="none" w:sz="0" w:space="0" w:color="auto"/>
            <w:right w:val="none" w:sz="0" w:space="0" w:color="auto"/>
          </w:divBdr>
        </w:div>
        <w:div w:id="1527332685">
          <w:marLeft w:val="0"/>
          <w:marRight w:val="0"/>
          <w:marTop w:val="0"/>
          <w:marBottom w:val="0"/>
          <w:divBdr>
            <w:top w:val="none" w:sz="0" w:space="0" w:color="auto"/>
            <w:left w:val="none" w:sz="0" w:space="0" w:color="auto"/>
            <w:bottom w:val="none" w:sz="0" w:space="0" w:color="auto"/>
            <w:right w:val="none" w:sz="0" w:space="0" w:color="auto"/>
          </w:divBdr>
        </w:div>
        <w:div w:id="2037415567">
          <w:marLeft w:val="0"/>
          <w:marRight w:val="0"/>
          <w:marTop w:val="0"/>
          <w:marBottom w:val="0"/>
          <w:divBdr>
            <w:top w:val="none" w:sz="0" w:space="0" w:color="auto"/>
            <w:left w:val="none" w:sz="0" w:space="0" w:color="auto"/>
            <w:bottom w:val="none" w:sz="0" w:space="0" w:color="auto"/>
            <w:right w:val="none" w:sz="0" w:space="0" w:color="auto"/>
          </w:divBdr>
        </w:div>
        <w:div w:id="1504125874">
          <w:marLeft w:val="0"/>
          <w:marRight w:val="0"/>
          <w:marTop w:val="0"/>
          <w:marBottom w:val="0"/>
          <w:divBdr>
            <w:top w:val="none" w:sz="0" w:space="0" w:color="auto"/>
            <w:left w:val="none" w:sz="0" w:space="0" w:color="auto"/>
            <w:bottom w:val="none" w:sz="0" w:space="0" w:color="auto"/>
            <w:right w:val="none" w:sz="0" w:space="0" w:color="auto"/>
          </w:divBdr>
        </w:div>
        <w:div w:id="1997415122">
          <w:marLeft w:val="0"/>
          <w:marRight w:val="0"/>
          <w:marTop w:val="0"/>
          <w:marBottom w:val="0"/>
          <w:divBdr>
            <w:top w:val="none" w:sz="0" w:space="0" w:color="auto"/>
            <w:left w:val="none" w:sz="0" w:space="0" w:color="auto"/>
            <w:bottom w:val="none" w:sz="0" w:space="0" w:color="auto"/>
            <w:right w:val="none" w:sz="0" w:space="0" w:color="auto"/>
          </w:divBdr>
        </w:div>
        <w:div w:id="1891914523">
          <w:marLeft w:val="0"/>
          <w:marRight w:val="0"/>
          <w:marTop w:val="0"/>
          <w:marBottom w:val="0"/>
          <w:divBdr>
            <w:top w:val="none" w:sz="0" w:space="0" w:color="auto"/>
            <w:left w:val="none" w:sz="0" w:space="0" w:color="auto"/>
            <w:bottom w:val="none" w:sz="0" w:space="0" w:color="auto"/>
            <w:right w:val="none" w:sz="0" w:space="0" w:color="auto"/>
          </w:divBdr>
        </w:div>
        <w:div w:id="1194922112">
          <w:marLeft w:val="0"/>
          <w:marRight w:val="0"/>
          <w:marTop w:val="0"/>
          <w:marBottom w:val="0"/>
          <w:divBdr>
            <w:top w:val="none" w:sz="0" w:space="0" w:color="auto"/>
            <w:left w:val="none" w:sz="0" w:space="0" w:color="auto"/>
            <w:bottom w:val="none" w:sz="0" w:space="0" w:color="auto"/>
            <w:right w:val="none" w:sz="0" w:space="0" w:color="auto"/>
          </w:divBdr>
        </w:div>
        <w:div w:id="2029602620">
          <w:marLeft w:val="0"/>
          <w:marRight w:val="0"/>
          <w:marTop w:val="0"/>
          <w:marBottom w:val="0"/>
          <w:divBdr>
            <w:top w:val="none" w:sz="0" w:space="0" w:color="auto"/>
            <w:left w:val="none" w:sz="0" w:space="0" w:color="auto"/>
            <w:bottom w:val="none" w:sz="0" w:space="0" w:color="auto"/>
            <w:right w:val="none" w:sz="0" w:space="0" w:color="auto"/>
          </w:divBdr>
        </w:div>
        <w:div w:id="1428498384">
          <w:marLeft w:val="0"/>
          <w:marRight w:val="0"/>
          <w:marTop w:val="0"/>
          <w:marBottom w:val="0"/>
          <w:divBdr>
            <w:top w:val="none" w:sz="0" w:space="0" w:color="auto"/>
            <w:left w:val="none" w:sz="0" w:space="0" w:color="auto"/>
            <w:bottom w:val="none" w:sz="0" w:space="0" w:color="auto"/>
            <w:right w:val="none" w:sz="0" w:space="0" w:color="auto"/>
          </w:divBdr>
        </w:div>
        <w:div w:id="178064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2020-04-26T11:53:00Z</dcterms:created>
  <dcterms:modified xsi:type="dcterms:W3CDTF">2020-04-26T11:53:00Z</dcterms:modified>
</cp:coreProperties>
</file>