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88A" w:rsidRPr="00D2288A" w:rsidRDefault="00D2288A" w:rsidP="00D2288A">
      <w:pPr>
        <w:jc w:val="center"/>
        <w:rPr>
          <w:sz w:val="32"/>
          <w:szCs w:val="32"/>
        </w:rPr>
      </w:pPr>
      <w:bookmarkStart w:id="0" w:name="Anchor1"/>
      <w:bookmarkEnd w:id="0"/>
      <w:r w:rsidRPr="00D2288A">
        <w:rPr>
          <w:sz w:val="32"/>
          <w:szCs w:val="32"/>
          <w:rtl/>
        </w:rPr>
        <w:t>الطعن رقم</w:t>
      </w:r>
      <w:bookmarkStart w:id="1" w:name="_GoBack"/>
      <w:bookmarkEnd w:id="1"/>
      <w:r w:rsidRPr="00D2288A">
        <w:rPr>
          <w:sz w:val="32"/>
          <w:szCs w:val="32"/>
          <w:rtl/>
        </w:rPr>
        <w:t xml:space="preserve"> </w:t>
      </w:r>
      <w:r w:rsidRPr="00D2288A">
        <w:rPr>
          <w:sz w:val="32"/>
          <w:szCs w:val="32"/>
        </w:rPr>
        <w:t xml:space="preserve">309 </w:t>
      </w:r>
      <w:r w:rsidRPr="00D2288A">
        <w:rPr>
          <w:sz w:val="32"/>
          <w:szCs w:val="32"/>
          <w:rtl/>
        </w:rPr>
        <w:t>و 322 لسنة 2013</w:t>
      </w:r>
    </w:p>
    <w:p w:rsidR="00D2288A" w:rsidRPr="00D2288A" w:rsidRDefault="00D2288A" w:rsidP="00D2288A">
      <w:pPr>
        <w:rPr>
          <w:sz w:val="32"/>
          <w:szCs w:val="32"/>
        </w:rPr>
      </w:pPr>
      <w:bookmarkStart w:id="2" w:name="Anchor8"/>
      <w:bookmarkEnd w:id="2"/>
      <w:r w:rsidRPr="00D2288A">
        <w:rPr>
          <w:sz w:val="32"/>
          <w:szCs w:val="32"/>
          <w:rtl/>
        </w:rPr>
        <w:t>هيئة المحكمة</w:t>
      </w:r>
      <w:r w:rsidRPr="00D2288A">
        <w:rPr>
          <w:sz w:val="32"/>
          <w:szCs w:val="32"/>
        </w:rPr>
        <w:t xml:space="preserve">: </w:t>
      </w:r>
      <w:r w:rsidRPr="00D2288A">
        <w:rPr>
          <w:sz w:val="32"/>
          <w:szCs w:val="32"/>
          <w:rtl/>
        </w:rPr>
        <w:t>برئاسة السيد المستشار ممدوح القزاز وكيل المحكمة وعضوية السادة المستشارين عبدالصبور خلف الله وفراج عباس وأحمد ابوضيف وعلي مرغني</w:t>
      </w:r>
    </w:p>
    <w:bookmarkStart w:id="3" w:name="Anchor22"/>
    <w:bookmarkEnd w:id="3"/>
    <w:p w:rsidR="00D2288A" w:rsidRPr="00D2288A" w:rsidRDefault="00D2288A" w:rsidP="00D2288A">
      <w:pPr>
        <w:rPr>
          <w:sz w:val="32"/>
          <w:szCs w:val="32"/>
        </w:rPr>
      </w:pPr>
      <w:r w:rsidRPr="00D2288A">
        <w:rPr>
          <w:sz w:val="32"/>
          <w:szCs w:val="32"/>
        </w:rPr>
        <w:fldChar w:fldCharType="begin"/>
      </w:r>
      <w:r w:rsidRPr="00D2288A">
        <w:rPr>
          <w:sz w:val="32"/>
          <w:szCs w:val="32"/>
        </w:rPr>
        <w:instrText xml:space="preserve"> HYPERLINK "http://www.law.gov.kw/KWT_CC-Ar/00_2014/00_%D8%A7%D9%84%D8%AF%D8%A7%D8%A6%D8%B1%D8%A9%20%D8%A7%D9%84%D8%AA%D8%AC%D8%A7%D8%B1%D9%8A%D8%A9/KWT-CC-Ar_2014-04-30_00309_Taan.html" \l "TM2014_309_1" </w:instrText>
      </w:r>
      <w:r w:rsidRPr="00D2288A">
        <w:rPr>
          <w:sz w:val="32"/>
          <w:szCs w:val="32"/>
        </w:rPr>
        <w:fldChar w:fldCharType="separate"/>
      </w:r>
      <w:r w:rsidRPr="00D2288A">
        <w:rPr>
          <w:rStyle w:val="Hyperlink"/>
          <w:sz w:val="32"/>
          <w:szCs w:val="32"/>
        </w:rPr>
        <w:t xml:space="preserve">1 – </w:t>
      </w:r>
      <w:r w:rsidRPr="00D2288A">
        <w:rPr>
          <w:rStyle w:val="Hyperlink"/>
          <w:sz w:val="32"/>
          <w:szCs w:val="32"/>
          <w:rtl/>
        </w:rPr>
        <w:t>ان لمحكمة الموضوع تقدير الأدلة والمستندات والأخذ بما تطمئن اليه منها واطراح ما عداه شرط ان تبين الحقيقة التي اقتنعت بها وان تقيم قضاءها على اسباب سائغة</w:t>
      </w:r>
      <w:r w:rsidRPr="00D2288A">
        <w:rPr>
          <w:rStyle w:val="Hyperlink"/>
          <w:sz w:val="32"/>
          <w:szCs w:val="32"/>
        </w:rPr>
        <w:t>.</w:t>
      </w:r>
      <w:r w:rsidRPr="00D2288A">
        <w:rPr>
          <w:sz w:val="32"/>
          <w:szCs w:val="32"/>
        </w:rPr>
        <w:fldChar w:fldCharType="end"/>
      </w:r>
    </w:p>
    <w:bookmarkStart w:id="4" w:name="Anchor38"/>
    <w:bookmarkEnd w:id="4"/>
    <w:p w:rsidR="00D2288A" w:rsidRPr="00D2288A" w:rsidRDefault="00D2288A" w:rsidP="00D2288A">
      <w:pPr>
        <w:rPr>
          <w:sz w:val="32"/>
          <w:szCs w:val="32"/>
        </w:rPr>
      </w:pPr>
      <w:r w:rsidRPr="00D2288A">
        <w:rPr>
          <w:sz w:val="32"/>
          <w:szCs w:val="32"/>
        </w:rPr>
        <w:fldChar w:fldCharType="begin"/>
      </w:r>
      <w:r w:rsidRPr="00D2288A">
        <w:rPr>
          <w:sz w:val="32"/>
          <w:szCs w:val="32"/>
        </w:rPr>
        <w:instrText xml:space="preserve"> HYPERLINK "http://www.law.gov.kw/KWT_CC-Ar/00_2014/00_%D8%A7%D9%84%D8%AF%D8%A7%D8%A6%D8%B1%D8%A9%20%D8%A7%D9%84%D8%AA%D8%AC%D8%A7%D8%B1%D9%8A%D8%A9/KWT-CC-Ar_2014-04-30_00309_Taan.html" \l "TM2014_309_2" </w:instrText>
      </w:r>
      <w:r w:rsidRPr="00D2288A">
        <w:rPr>
          <w:sz w:val="32"/>
          <w:szCs w:val="32"/>
        </w:rPr>
        <w:fldChar w:fldCharType="separate"/>
      </w:r>
      <w:r w:rsidRPr="00D2288A">
        <w:rPr>
          <w:rStyle w:val="Hyperlink"/>
          <w:sz w:val="32"/>
          <w:szCs w:val="32"/>
        </w:rPr>
        <w:t xml:space="preserve">2 – </w:t>
      </w:r>
      <w:r w:rsidRPr="00D2288A">
        <w:rPr>
          <w:rStyle w:val="Hyperlink"/>
          <w:sz w:val="32"/>
          <w:szCs w:val="32"/>
          <w:rtl/>
        </w:rPr>
        <w:t>ان اطمئنان محكمة الموضوع الى تقرير الخبير وأخذها به محمولا على اسبابه يفيد انها لم تجد في المطاعن الموجهة اليه ما يستحق الرد عليه</w:t>
      </w:r>
      <w:r w:rsidRPr="00D2288A">
        <w:rPr>
          <w:rStyle w:val="Hyperlink"/>
          <w:sz w:val="32"/>
          <w:szCs w:val="32"/>
        </w:rPr>
        <w:t>.</w:t>
      </w:r>
      <w:r w:rsidRPr="00D2288A">
        <w:rPr>
          <w:sz w:val="32"/>
          <w:szCs w:val="32"/>
        </w:rPr>
        <w:fldChar w:fldCharType="end"/>
      </w:r>
    </w:p>
    <w:bookmarkStart w:id="5" w:name="Anchor52"/>
    <w:bookmarkEnd w:id="5"/>
    <w:p w:rsidR="00D2288A" w:rsidRPr="00D2288A" w:rsidRDefault="00D2288A" w:rsidP="00D2288A">
      <w:pPr>
        <w:rPr>
          <w:sz w:val="32"/>
          <w:szCs w:val="32"/>
        </w:rPr>
      </w:pPr>
      <w:r w:rsidRPr="00D2288A">
        <w:rPr>
          <w:sz w:val="32"/>
          <w:szCs w:val="32"/>
        </w:rPr>
        <w:fldChar w:fldCharType="begin"/>
      </w:r>
      <w:r w:rsidRPr="00D2288A">
        <w:rPr>
          <w:sz w:val="32"/>
          <w:szCs w:val="32"/>
        </w:rPr>
        <w:instrText xml:space="preserve"> HYPERLINK "http://www.law.gov.kw/KWT_CC-Ar/00_2014/00_%D8%A7%D9%84%D8%AF%D8%A7%D8%A6%D8%B1%D8%A9%20%D8%A7%D9%84%D8%AA%D8%AC%D8%A7%D8%B1%D9%8A%D8%A9/KWT-CC-Ar_2014-04-30_00309_Taan.html" \l "TM2014_309_3" </w:instrText>
      </w:r>
      <w:r w:rsidRPr="00D2288A">
        <w:rPr>
          <w:sz w:val="32"/>
          <w:szCs w:val="32"/>
        </w:rPr>
        <w:fldChar w:fldCharType="separate"/>
      </w:r>
      <w:r w:rsidRPr="00D2288A">
        <w:rPr>
          <w:rStyle w:val="Hyperlink"/>
          <w:sz w:val="32"/>
          <w:szCs w:val="32"/>
        </w:rPr>
        <w:t xml:space="preserve">3 – </w:t>
      </w:r>
      <w:r w:rsidRPr="00D2288A">
        <w:rPr>
          <w:rStyle w:val="Hyperlink"/>
          <w:sz w:val="32"/>
          <w:szCs w:val="32"/>
          <w:rtl/>
        </w:rPr>
        <w:t>ان تعهد الطاعن واقراره بسداد الدين على أقساط اسبوعية متساوية ومتتالية مفاده انه لا يُعتد بأي سداد سابق عن هذا الاقرار كما لا يُعتد بأي سند مديونية آخر تم تحريره قبل تاريخ هذا الاقرار</w:t>
      </w:r>
      <w:r w:rsidRPr="00D2288A">
        <w:rPr>
          <w:rStyle w:val="Hyperlink"/>
          <w:sz w:val="32"/>
          <w:szCs w:val="32"/>
        </w:rPr>
        <w:t>.</w:t>
      </w:r>
      <w:r w:rsidRPr="00D2288A">
        <w:rPr>
          <w:sz w:val="32"/>
          <w:szCs w:val="32"/>
        </w:rPr>
        <w:fldChar w:fldCharType="end"/>
      </w:r>
      <w:r w:rsidRPr="00D2288A">
        <w:rPr>
          <w:sz w:val="32"/>
          <w:szCs w:val="32"/>
        </w:rPr>
        <w:br/>
      </w:r>
      <w:r w:rsidRPr="00D2288A">
        <w:rPr>
          <w:sz w:val="32"/>
          <w:szCs w:val="32"/>
        </w:rPr>
        <w:br/>
      </w:r>
      <w:r w:rsidRPr="00D2288A">
        <w:rPr>
          <w:sz w:val="32"/>
          <w:szCs w:val="32"/>
          <w:u w:val="single"/>
          <w:rtl/>
        </w:rPr>
        <w:t>ملاحظة</w:t>
      </w:r>
      <w:r w:rsidRPr="00D2288A">
        <w:rPr>
          <w:sz w:val="32"/>
          <w:szCs w:val="32"/>
          <w:u w:val="single"/>
        </w:rPr>
        <w:t xml:space="preserve"> :</w:t>
      </w:r>
      <w:r w:rsidRPr="00D2288A">
        <w:rPr>
          <w:sz w:val="32"/>
          <w:szCs w:val="32"/>
        </w:rPr>
        <w:br/>
      </w:r>
      <w:r w:rsidRPr="00D2288A">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D2288A" w:rsidRPr="00D2288A" w:rsidRDefault="00D2288A" w:rsidP="00D2288A">
      <w:pPr>
        <w:rPr>
          <w:sz w:val="32"/>
          <w:szCs w:val="32"/>
        </w:rPr>
      </w:pPr>
      <w:bookmarkStart w:id="6" w:name="Anchor71"/>
      <w:bookmarkEnd w:id="6"/>
      <w:r w:rsidRPr="00D2288A">
        <w:rPr>
          <w:b/>
          <w:bCs/>
          <w:sz w:val="32"/>
          <w:szCs w:val="32"/>
          <w:rtl/>
        </w:rPr>
        <w:t>المحكمة</w:t>
      </w:r>
    </w:p>
    <w:p w:rsidR="00D2288A" w:rsidRPr="00D2288A" w:rsidRDefault="00D2288A" w:rsidP="00D2288A">
      <w:pPr>
        <w:rPr>
          <w:sz w:val="32"/>
          <w:szCs w:val="32"/>
        </w:rPr>
      </w:pPr>
      <w:bookmarkStart w:id="7" w:name="Anchor72"/>
      <w:bookmarkEnd w:id="7"/>
      <w:r w:rsidRPr="00D2288A">
        <w:rPr>
          <w:sz w:val="32"/>
          <w:szCs w:val="32"/>
          <w:rtl/>
        </w:rPr>
        <w:t>بعد الاطلاع على الأوراق ، والمداولة وضم الطعنين</w:t>
      </w:r>
      <w:r w:rsidRPr="00D2288A">
        <w:rPr>
          <w:sz w:val="32"/>
          <w:szCs w:val="32"/>
        </w:rPr>
        <w:t>.</w:t>
      </w:r>
    </w:p>
    <w:p w:rsidR="00D2288A" w:rsidRPr="00D2288A" w:rsidRDefault="00D2288A" w:rsidP="00D2288A">
      <w:pPr>
        <w:rPr>
          <w:sz w:val="32"/>
          <w:szCs w:val="32"/>
        </w:rPr>
      </w:pPr>
      <w:bookmarkStart w:id="8" w:name="Anchor79"/>
      <w:bookmarkStart w:id="9" w:name="TM2014_309_1"/>
      <w:bookmarkEnd w:id="8"/>
      <w:bookmarkEnd w:id="9"/>
      <w:r w:rsidRPr="00D2288A">
        <w:rPr>
          <w:b/>
          <w:bCs/>
          <w:sz w:val="32"/>
          <w:szCs w:val="32"/>
          <w:rtl/>
        </w:rPr>
        <w:t>لما كان من المقرر أن لمحكمة الموضوع سلطة تحصيل وفهم الواقع في الدعوى وتقدير الأدلة والمستندات والأخذ بما تطمئن إليه منها وإطراح ما عداه وحسبها أن تبين الحقيقة التي اقتنعت بها وأن تقيم قضاءها على أسباب سائغة تكفي لحمله،</w:t>
      </w:r>
    </w:p>
    <w:p w:rsidR="00D2288A" w:rsidRPr="00D2288A" w:rsidRDefault="00D2288A" w:rsidP="00D2288A">
      <w:pPr>
        <w:rPr>
          <w:sz w:val="32"/>
          <w:szCs w:val="32"/>
        </w:rPr>
      </w:pPr>
      <w:bookmarkStart w:id="10" w:name="Anchor101"/>
      <w:bookmarkStart w:id="11" w:name="TM2014_309_2"/>
      <w:bookmarkEnd w:id="10"/>
      <w:bookmarkEnd w:id="11"/>
      <w:r w:rsidRPr="00D2288A">
        <w:rPr>
          <w:b/>
          <w:bCs/>
          <w:sz w:val="32"/>
          <w:szCs w:val="32"/>
          <w:rtl/>
        </w:rPr>
        <w:t>وأن أخذه بتقرير الخبير محمولاً على أسبابه ما يفيد أنها لم تجد في المطاعن الموجهة إليه ما يستحق الرد عليه بأكثر مما تضمنه التقرير،</w:t>
      </w:r>
    </w:p>
    <w:p w:rsidR="00D2288A" w:rsidRPr="00D2288A" w:rsidRDefault="00D2288A" w:rsidP="00D2288A">
      <w:pPr>
        <w:rPr>
          <w:sz w:val="32"/>
          <w:szCs w:val="32"/>
        </w:rPr>
      </w:pPr>
      <w:bookmarkStart w:id="12" w:name="Anchor114"/>
      <w:bookmarkStart w:id="13" w:name="TM2014_309_3"/>
      <w:bookmarkEnd w:id="12"/>
      <w:bookmarkEnd w:id="13"/>
      <w:r w:rsidRPr="00D2288A">
        <w:rPr>
          <w:b/>
          <w:bCs/>
          <w:sz w:val="32"/>
          <w:szCs w:val="32"/>
          <w:rtl/>
        </w:rPr>
        <w:t>لما كان ذلك وكان الحكم المطعون فيه قد اقام قضاءه بتأييد الحكم الابتدائي القاضي بالزام الطاعن في الطعن الأول بان يؤدي إلى المطعون ضدها في ذات الطعن</w:t>
      </w:r>
      <w:r w:rsidRPr="00D2288A">
        <w:rPr>
          <w:b/>
          <w:bCs/>
          <w:sz w:val="32"/>
          <w:szCs w:val="32"/>
        </w:rPr>
        <w:t xml:space="preserve">- </w:t>
      </w:r>
      <w:r w:rsidRPr="00D2288A">
        <w:rPr>
          <w:b/>
          <w:bCs/>
          <w:sz w:val="32"/>
          <w:szCs w:val="32"/>
          <w:rtl/>
        </w:rPr>
        <w:t>الطاعن في الطعن الثاني</w:t>
      </w:r>
      <w:r w:rsidRPr="00D2288A">
        <w:rPr>
          <w:b/>
          <w:bCs/>
          <w:sz w:val="32"/>
          <w:szCs w:val="32"/>
        </w:rPr>
        <w:t xml:space="preserve">- </w:t>
      </w:r>
      <w:r w:rsidRPr="00D2288A">
        <w:rPr>
          <w:b/>
          <w:bCs/>
          <w:sz w:val="32"/>
          <w:szCs w:val="32"/>
          <w:rtl/>
        </w:rPr>
        <w:t xml:space="preserve">المبلغ المقضي به على ما استخلصه واطمان إليه من الأوراق وتقرير الخبير المقدم في الدعوى أنه لا خلاف بين الطرفين أن </w:t>
      </w:r>
      <w:r w:rsidRPr="00D2288A">
        <w:rPr>
          <w:b/>
          <w:bCs/>
          <w:sz w:val="32"/>
          <w:szCs w:val="32"/>
          <w:rtl/>
        </w:rPr>
        <w:lastRenderedPageBreak/>
        <w:t xml:space="preserve">الثابت من إقرار الدين الصادر من الطاعن في الطعن الأول المؤرخ 2000/2/29 والموثق برقم </w:t>
      </w:r>
      <w:r w:rsidRPr="00D2288A">
        <w:rPr>
          <w:b/>
          <w:bCs/>
          <w:sz w:val="32"/>
          <w:szCs w:val="32"/>
        </w:rPr>
        <w:t xml:space="preserve">878 </w:t>
      </w:r>
      <w:r w:rsidRPr="00D2288A">
        <w:rPr>
          <w:b/>
          <w:bCs/>
          <w:sz w:val="32"/>
          <w:szCs w:val="32"/>
          <w:rtl/>
        </w:rPr>
        <w:t>جلد 10 أنه مدين للمطعون ضدها بمبلغ 54497 د.ك قيمة أعمال تجارية تدخل ضمن نشاط الشركة موضوع التداعي، وأنه قد تعهد في ذلك الإقرار بسداد هذا الدين على أقساط أسبوعية متساوية ومتتالية قيمة كل قسط 500 د.ك على أن يبدأ سداد أول قسط اعتباراً من 2000/3/12 بما مفاده أنه لا يعتد بأي سداد سابق عن هذا الإقرار كما لا يعتد باي سند مديونية آخر تم تحريره قبل تاريخ هذا الإقرار، وان الثابت من تقرير الخبير المنتدب من قبل محكمة أول درجة أنه قد انتهى في أبحاثه إلى أن الطاعن</w:t>
      </w:r>
      <w:r w:rsidRPr="00D2288A">
        <w:rPr>
          <w:b/>
          <w:bCs/>
          <w:sz w:val="32"/>
          <w:szCs w:val="32"/>
        </w:rPr>
        <w:t xml:space="preserve">- </w:t>
      </w:r>
      <w:r w:rsidRPr="00D2288A">
        <w:rPr>
          <w:b/>
          <w:bCs/>
          <w:sz w:val="32"/>
          <w:szCs w:val="32"/>
          <w:rtl/>
        </w:rPr>
        <w:t xml:space="preserve">المدين- قد سدد للشركة الدائنة مبلغ </w:t>
      </w:r>
      <w:r w:rsidRPr="00D2288A">
        <w:rPr>
          <w:b/>
          <w:bCs/>
          <w:sz w:val="32"/>
          <w:szCs w:val="32"/>
        </w:rPr>
        <w:t xml:space="preserve">541,45997 </w:t>
      </w:r>
      <w:r w:rsidRPr="00D2288A">
        <w:rPr>
          <w:b/>
          <w:bCs/>
          <w:sz w:val="32"/>
          <w:szCs w:val="32"/>
          <w:rtl/>
        </w:rPr>
        <w:t>د.ك وبالتالي يكون المستحق عليه مبلغ 500,8210 د.ك. وكان هذا الذي خلص إليه الحكم وأقام عليه قضاءه سائغاً وكافياً لحمله ويؤدي إلى النتيجة التي انتهى إليها،</w:t>
      </w:r>
      <w:r w:rsidRPr="00D2288A">
        <w:rPr>
          <w:sz w:val="32"/>
          <w:szCs w:val="32"/>
          <w:rtl/>
        </w:rPr>
        <w:t xml:space="preserve"> ولا ينال منه التفاته عن طلب القضاء بالفوائد لكونه أبدى طلب عارض لم تسدد الطاعن في الطعن الثاني الرسم المقرر على ذلك الطلب. ومن ثم فإن النعي عليه بأسباب الطعنين لا يعدو أن يكون جدلاً موضوعياً فيما تستقل محكمة الموضوع بتقديره وتنحسر عنه رقابة محكمة التمييز، ويكون الطعنان غير مقبولان عملاً بنص المادتين 152، 154/5 من قان المرافعات</w:t>
      </w:r>
      <w:r w:rsidRPr="00D2288A">
        <w:rPr>
          <w:sz w:val="32"/>
          <w:szCs w:val="32"/>
        </w:rPr>
        <w:t xml:space="preserve">. </w:t>
      </w:r>
    </w:p>
    <w:p w:rsidR="00D2288A" w:rsidRPr="00D2288A" w:rsidRDefault="00D2288A" w:rsidP="00D2288A">
      <w:pPr>
        <w:rPr>
          <w:sz w:val="32"/>
          <w:szCs w:val="32"/>
        </w:rPr>
      </w:pPr>
      <w:bookmarkStart w:id="14" w:name="Anchor235"/>
      <w:bookmarkEnd w:id="14"/>
      <w:r w:rsidRPr="00D2288A">
        <w:rPr>
          <w:sz w:val="32"/>
          <w:szCs w:val="32"/>
          <w:rtl/>
        </w:rPr>
        <w:t>لذلك</w:t>
      </w:r>
    </w:p>
    <w:p w:rsidR="00D2288A" w:rsidRPr="00D2288A" w:rsidRDefault="00D2288A" w:rsidP="00D2288A">
      <w:pPr>
        <w:rPr>
          <w:sz w:val="32"/>
          <w:szCs w:val="32"/>
        </w:rPr>
      </w:pPr>
      <w:bookmarkStart w:id="15" w:name="Anchor236"/>
      <w:bookmarkEnd w:id="15"/>
      <w:r w:rsidRPr="00D2288A">
        <w:rPr>
          <w:sz w:val="32"/>
          <w:szCs w:val="32"/>
          <w:rtl/>
        </w:rPr>
        <w:t>قررت المحكمة - في غرفة المشورة</w:t>
      </w:r>
      <w:r w:rsidRPr="00D2288A">
        <w:rPr>
          <w:sz w:val="32"/>
          <w:szCs w:val="32"/>
        </w:rPr>
        <w:t xml:space="preserve"> - </w:t>
      </w:r>
      <w:r w:rsidRPr="00D2288A">
        <w:rPr>
          <w:sz w:val="32"/>
          <w:szCs w:val="32"/>
          <w:rtl/>
        </w:rPr>
        <w:t>عدم قبول الطعنين وألزمت كل طاعن مصروفات طعنه والطاعن في الطعن الأول رقم 309 لسنة 2013 عشرين ديناراً مقابل أتعاب المحاماة مع مصادرة الكفالة في الطعنين</w:t>
      </w:r>
      <w:r w:rsidRPr="00D2288A">
        <w:rPr>
          <w:sz w:val="32"/>
          <w:szCs w:val="32"/>
        </w:rPr>
        <w:t xml:space="preserve"> .</w:t>
      </w:r>
    </w:p>
    <w:p w:rsidR="00D2288A" w:rsidRPr="00D2288A" w:rsidRDefault="00D2288A" w:rsidP="00D2288A">
      <w:pPr>
        <w:rPr>
          <w:sz w:val="32"/>
          <w:szCs w:val="32"/>
        </w:rPr>
      </w:pPr>
    </w:p>
    <w:p w:rsidR="00D2288A" w:rsidRPr="00D2288A" w:rsidRDefault="00D2288A" w:rsidP="00D2288A">
      <w:pPr>
        <w:rPr>
          <w:sz w:val="32"/>
          <w:szCs w:val="32"/>
        </w:rPr>
      </w:pPr>
      <w:bookmarkStart w:id="16" w:name="Anchor253"/>
      <w:bookmarkEnd w:id="16"/>
      <w:r w:rsidRPr="00D2288A">
        <w:rPr>
          <w:sz w:val="32"/>
          <w:szCs w:val="32"/>
        </w:rPr>
        <w:t>* * *</w:t>
      </w:r>
    </w:p>
    <w:p w:rsidR="00D32E0F" w:rsidRPr="00D2288A" w:rsidRDefault="00D32E0F">
      <w:pPr>
        <w:rPr>
          <w:sz w:val="32"/>
          <w:szCs w:val="32"/>
        </w:rPr>
      </w:pPr>
    </w:p>
    <w:sectPr w:rsidR="00D32E0F" w:rsidRPr="00D2288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2CD"/>
    <w:rsid w:val="0003272B"/>
    <w:rsid w:val="000E72CD"/>
    <w:rsid w:val="00D2288A"/>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8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8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469811">
      <w:bodyDiv w:val="1"/>
      <w:marLeft w:val="0"/>
      <w:marRight w:val="0"/>
      <w:marTop w:val="0"/>
      <w:marBottom w:val="0"/>
      <w:divBdr>
        <w:top w:val="none" w:sz="0" w:space="0" w:color="auto"/>
        <w:left w:val="none" w:sz="0" w:space="0" w:color="auto"/>
        <w:bottom w:val="none" w:sz="0" w:space="0" w:color="auto"/>
        <w:right w:val="none" w:sz="0" w:space="0" w:color="auto"/>
      </w:divBdr>
      <w:divsChild>
        <w:div w:id="1011882501">
          <w:marLeft w:val="0"/>
          <w:marRight w:val="0"/>
          <w:marTop w:val="0"/>
          <w:marBottom w:val="0"/>
          <w:divBdr>
            <w:top w:val="none" w:sz="0" w:space="0" w:color="auto"/>
            <w:left w:val="none" w:sz="0" w:space="0" w:color="auto"/>
            <w:bottom w:val="none" w:sz="0" w:space="0" w:color="auto"/>
            <w:right w:val="none" w:sz="0" w:space="0" w:color="auto"/>
          </w:divBdr>
        </w:div>
        <w:div w:id="994724084">
          <w:marLeft w:val="0"/>
          <w:marRight w:val="0"/>
          <w:marTop w:val="0"/>
          <w:marBottom w:val="0"/>
          <w:divBdr>
            <w:top w:val="none" w:sz="0" w:space="0" w:color="auto"/>
            <w:left w:val="none" w:sz="0" w:space="0" w:color="auto"/>
            <w:bottom w:val="none" w:sz="0" w:space="0" w:color="auto"/>
            <w:right w:val="none" w:sz="0" w:space="0" w:color="auto"/>
          </w:divBdr>
        </w:div>
        <w:div w:id="1591504687">
          <w:marLeft w:val="0"/>
          <w:marRight w:val="0"/>
          <w:marTop w:val="0"/>
          <w:marBottom w:val="0"/>
          <w:divBdr>
            <w:top w:val="none" w:sz="0" w:space="0" w:color="auto"/>
            <w:left w:val="none" w:sz="0" w:space="0" w:color="auto"/>
            <w:bottom w:val="none" w:sz="0" w:space="0" w:color="auto"/>
            <w:right w:val="none" w:sz="0" w:space="0" w:color="auto"/>
          </w:divBdr>
        </w:div>
        <w:div w:id="401564470">
          <w:marLeft w:val="0"/>
          <w:marRight w:val="0"/>
          <w:marTop w:val="0"/>
          <w:marBottom w:val="0"/>
          <w:divBdr>
            <w:top w:val="none" w:sz="0" w:space="0" w:color="auto"/>
            <w:left w:val="none" w:sz="0" w:space="0" w:color="auto"/>
            <w:bottom w:val="none" w:sz="0" w:space="0" w:color="auto"/>
            <w:right w:val="none" w:sz="0" w:space="0" w:color="auto"/>
          </w:divBdr>
        </w:div>
        <w:div w:id="964968322">
          <w:marLeft w:val="0"/>
          <w:marRight w:val="0"/>
          <w:marTop w:val="0"/>
          <w:marBottom w:val="0"/>
          <w:divBdr>
            <w:top w:val="none" w:sz="0" w:space="0" w:color="auto"/>
            <w:left w:val="none" w:sz="0" w:space="0" w:color="auto"/>
            <w:bottom w:val="none" w:sz="0" w:space="0" w:color="auto"/>
            <w:right w:val="none" w:sz="0" w:space="0" w:color="auto"/>
          </w:divBdr>
        </w:div>
        <w:div w:id="1775635942">
          <w:marLeft w:val="0"/>
          <w:marRight w:val="0"/>
          <w:marTop w:val="0"/>
          <w:marBottom w:val="0"/>
          <w:divBdr>
            <w:top w:val="none" w:sz="0" w:space="0" w:color="auto"/>
            <w:left w:val="none" w:sz="0" w:space="0" w:color="auto"/>
            <w:bottom w:val="none" w:sz="0" w:space="0" w:color="auto"/>
            <w:right w:val="none" w:sz="0" w:space="0" w:color="auto"/>
          </w:divBdr>
        </w:div>
        <w:div w:id="1038747755">
          <w:marLeft w:val="0"/>
          <w:marRight w:val="0"/>
          <w:marTop w:val="0"/>
          <w:marBottom w:val="0"/>
          <w:divBdr>
            <w:top w:val="none" w:sz="0" w:space="0" w:color="auto"/>
            <w:left w:val="none" w:sz="0" w:space="0" w:color="auto"/>
            <w:bottom w:val="none" w:sz="0" w:space="0" w:color="auto"/>
            <w:right w:val="none" w:sz="0" w:space="0" w:color="auto"/>
          </w:divBdr>
        </w:div>
        <w:div w:id="2051881699">
          <w:marLeft w:val="0"/>
          <w:marRight w:val="0"/>
          <w:marTop w:val="0"/>
          <w:marBottom w:val="0"/>
          <w:divBdr>
            <w:top w:val="none" w:sz="0" w:space="0" w:color="auto"/>
            <w:left w:val="none" w:sz="0" w:space="0" w:color="auto"/>
            <w:bottom w:val="none" w:sz="0" w:space="0" w:color="auto"/>
            <w:right w:val="none" w:sz="0" w:space="0" w:color="auto"/>
          </w:divBdr>
        </w:div>
        <w:div w:id="766074191">
          <w:marLeft w:val="0"/>
          <w:marRight w:val="0"/>
          <w:marTop w:val="0"/>
          <w:marBottom w:val="0"/>
          <w:divBdr>
            <w:top w:val="none" w:sz="0" w:space="0" w:color="auto"/>
            <w:left w:val="none" w:sz="0" w:space="0" w:color="auto"/>
            <w:bottom w:val="none" w:sz="0" w:space="0" w:color="auto"/>
            <w:right w:val="none" w:sz="0" w:space="0" w:color="auto"/>
          </w:divBdr>
        </w:div>
        <w:div w:id="1105727561">
          <w:marLeft w:val="0"/>
          <w:marRight w:val="0"/>
          <w:marTop w:val="0"/>
          <w:marBottom w:val="0"/>
          <w:divBdr>
            <w:top w:val="none" w:sz="0" w:space="0" w:color="auto"/>
            <w:left w:val="none" w:sz="0" w:space="0" w:color="auto"/>
            <w:bottom w:val="none" w:sz="0" w:space="0" w:color="auto"/>
            <w:right w:val="none" w:sz="0" w:space="0" w:color="auto"/>
          </w:divBdr>
        </w:div>
        <w:div w:id="1177034071">
          <w:marLeft w:val="0"/>
          <w:marRight w:val="0"/>
          <w:marTop w:val="0"/>
          <w:marBottom w:val="0"/>
          <w:divBdr>
            <w:top w:val="none" w:sz="0" w:space="0" w:color="auto"/>
            <w:left w:val="none" w:sz="0" w:space="0" w:color="auto"/>
            <w:bottom w:val="none" w:sz="0" w:space="0" w:color="auto"/>
            <w:right w:val="none" w:sz="0" w:space="0" w:color="auto"/>
          </w:divBdr>
        </w:div>
        <w:div w:id="791901215">
          <w:marLeft w:val="0"/>
          <w:marRight w:val="0"/>
          <w:marTop w:val="0"/>
          <w:marBottom w:val="0"/>
          <w:divBdr>
            <w:top w:val="none" w:sz="0" w:space="0" w:color="auto"/>
            <w:left w:val="none" w:sz="0" w:space="0" w:color="auto"/>
            <w:bottom w:val="none" w:sz="0" w:space="0" w:color="auto"/>
            <w:right w:val="none" w:sz="0" w:space="0" w:color="auto"/>
          </w:divBdr>
        </w:div>
        <w:div w:id="2059740831">
          <w:marLeft w:val="0"/>
          <w:marRight w:val="0"/>
          <w:marTop w:val="0"/>
          <w:marBottom w:val="0"/>
          <w:divBdr>
            <w:top w:val="none" w:sz="0" w:space="0" w:color="auto"/>
            <w:left w:val="none" w:sz="0" w:space="0" w:color="auto"/>
            <w:bottom w:val="none" w:sz="0" w:space="0" w:color="auto"/>
            <w:right w:val="none" w:sz="0" w:space="0" w:color="auto"/>
          </w:divBdr>
        </w:div>
      </w:divsChild>
    </w:div>
    <w:div w:id="1064763764">
      <w:bodyDiv w:val="1"/>
      <w:marLeft w:val="0"/>
      <w:marRight w:val="0"/>
      <w:marTop w:val="0"/>
      <w:marBottom w:val="0"/>
      <w:divBdr>
        <w:top w:val="none" w:sz="0" w:space="0" w:color="auto"/>
        <w:left w:val="none" w:sz="0" w:space="0" w:color="auto"/>
        <w:bottom w:val="none" w:sz="0" w:space="0" w:color="auto"/>
        <w:right w:val="none" w:sz="0" w:space="0" w:color="auto"/>
      </w:divBdr>
      <w:divsChild>
        <w:div w:id="500043986">
          <w:marLeft w:val="0"/>
          <w:marRight w:val="0"/>
          <w:marTop w:val="0"/>
          <w:marBottom w:val="0"/>
          <w:divBdr>
            <w:top w:val="none" w:sz="0" w:space="0" w:color="auto"/>
            <w:left w:val="none" w:sz="0" w:space="0" w:color="auto"/>
            <w:bottom w:val="none" w:sz="0" w:space="0" w:color="auto"/>
            <w:right w:val="none" w:sz="0" w:space="0" w:color="auto"/>
          </w:divBdr>
        </w:div>
        <w:div w:id="1580872705">
          <w:marLeft w:val="0"/>
          <w:marRight w:val="0"/>
          <w:marTop w:val="0"/>
          <w:marBottom w:val="0"/>
          <w:divBdr>
            <w:top w:val="none" w:sz="0" w:space="0" w:color="auto"/>
            <w:left w:val="none" w:sz="0" w:space="0" w:color="auto"/>
            <w:bottom w:val="none" w:sz="0" w:space="0" w:color="auto"/>
            <w:right w:val="none" w:sz="0" w:space="0" w:color="auto"/>
          </w:divBdr>
        </w:div>
        <w:div w:id="693075724">
          <w:marLeft w:val="0"/>
          <w:marRight w:val="0"/>
          <w:marTop w:val="0"/>
          <w:marBottom w:val="0"/>
          <w:divBdr>
            <w:top w:val="none" w:sz="0" w:space="0" w:color="auto"/>
            <w:left w:val="none" w:sz="0" w:space="0" w:color="auto"/>
            <w:bottom w:val="none" w:sz="0" w:space="0" w:color="auto"/>
            <w:right w:val="none" w:sz="0" w:space="0" w:color="auto"/>
          </w:divBdr>
        </w:div>
        <w:div w:id="726491490">
          <w:marLeft w:val="0"/>
          <w:marRight w:val="0"/>
          <w:marTop w:val="0"/>
          <w:marBottom w:val="0"/>
          <w:divBdr>
            <w:top w:val="none" w:sz="0" w:space="0" w:color="auto"/>
            <w:left w:val="none" w:sz="0" w:space="0" w:color="auto"/>
            <w:bottom w:val="none" w:sz="0" w:space="0" w:color="auto"/>
            <w:right w:val="none" w:sz="0" w:space="0" w:color="auto"/>
          </w:divBdr>
        </w:div>
        <w:div w:id="152183950">
          <w:marLeft w:val="0"/>
          <w:marRight w:val="0"/>
          <w:marTop w:val="0"/>
          <w:marBottom w:val="0"/>
          <w:divBdr>
            <w:top w:val="none" w:sz="0" w:space="0" w:color="auto"/>
            <w:left w:val="none" w:sz="0" w:space="0" w:color="auto"/>
            <w:bottom w:val="none" w:sz="0" w:space="0" w:color="auto"/>
            <w:right w:val="none" w:sz="0" w:space="0" w:color="auto"/>
          </w:divBdr>
        </w:div>
        <w:div w:id="1599944294">
          <w:marLeft w:val="0"/>
          <w:marRight w:val="0"/>
          <w:marTop w:val="0"/>
          <w:marBottom w:val="0"/>
          <w:divBdr>
            <w:top w:val="none" w:sz="0" w:space="0" w:color="auto"/>
            <w:left w:val="none" w:sz="0" w:space="0" w:color="auto"/>
            <w:bottom w:val="none" w:sz="0" w:space="0" w:color="auto"/>
            <w:right w:val="none" w:sz="0" w:space="0" w:color="auto"/>
          </w:divBdr>
        </w:div>
        <w:div w:id="127360794">
          <w:marLeft w:val="0"/>
          <w:marRight w:val="0"/>
          <w:marTop w:val="0"/>
          <w:marBottom w:val="0"/>
          <w:divBdr>
            <w:top w:val="none" w:sz="0" w:space="0" w:color="auto"/>
            <w:left w:val="none" w:sz="0" w:space="0" w:color="auto"/>
            <w:bottom w:val="none" w:sz="0" w:space="0" w:color="auto"/>
            <w:right w:val="none" w:sz="0" w:space="0" w:color="auto"/>
          </w:divBdr>
        </w:div>
        <w:div w:id="2110738032">
          <w:marLeft w:val="0"/>
          <w:marRight w:val="0"/>
          <w:marTop w:val="0"/>
          <w:marBottom w:val="0"/>
          <w:divBdr>
            <w:top w:val="none" w:sz="0" w:space="0" w:color="auto"/>
            <w:left w:val="none" w:sz="0" w:space="0" w:color="auto"/>
            <w:bottom w:val="none" w:sz="0" w:space="0" w:color="auto"/>
            <w:right w:val="none" w:sz="0" w:space="0" w:color="auto"/>
          </w:divBdr>
        </w:div>
        <w:div w:id="919876696">
          <w:marLeft w:val="0"/>
          <w:marRight w:val="0"/>
          <w:marTop w:val="0"/>
          <w:marBottom w:val="0"/>
          <w:divBdr>
            <w:top w:val="none" w:sz="0" w:space="0" w:color="auto"/>
            <w:left w:val="none" w:sz="0" w:space="0" w:color="auto"/>
            <w:bottom w:val="none" w:sz="0" w:space="0" w:color="auto"/>
            <w:right w:val="none" w:sz="0" w:space="0" w:color="auto"/>
          </w:divBdr>
        </w:div>
        <w:div w:id="812941097">
          <w:marLeft w:val="0"/>
          <w:marRight w:val="0"/>
          <w:marTop w:val="0"/>
          <w:marBottom w:val="0"/>
          <w:divBdr>
            <w:top w:val="none" w:sz="0" w:space="0" w:color="auto"/>
            <w:left w:val="none" w:sz="0" w:space="0" w:color="auto"/>
            <w:bottom w:val="none" w:sz="0" w:space="0" w:color="auto"/>
            <w:right w:val="none" w:sz="0" w:space="0" w:color="auto"/>
          </w:divBdr>
        </w:div>
        <w:div w:id="1733459545">
          <w:marLeft w:val="0"/>
          <w:marRight w:val="0"/>
          <w:marTop w:val="0"/>
          <w:marBottom w:val="0"/>
          <w:divBdr>
            <w:top w:val="none" w:sz="0" w:space="0" w:color="auto"/>
            <w:left w:val="none" w:sz="0" w:space="0" w:color="auto"/>
            <w:bottom w:val="none" w:sz="0" w:space="0" w:color="auto"/>
            <w:right w:val="none" w:sz="0" w:space="0" w:color="auto"/>
          </w:divBdr>
        </w:div>
        <w:div w:id="1512141516">
          <w:marLeft w:val="0"/>
          <w:marRight w:val="0"/>
          <w:marTop w:val="0"/>
          <w:marBottom w:val="0"/>
          <w:divBdr>
            <w:top w:val="none" w:sz="0" w:space="0" w:color="auto"/>
            <w:left w:val="none" w:sz="0" w:space="0" w:color="auto"/>
            <w:bottom w:val="none" w:sz="0" w:space="0" w:color="auto"/>
            <w:right w:val="none" w:sz="0" w:space="0" w:color="auto"/>
          </w:divBdr>
        </w:div>
        <w:div w:id="505361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2020-04-26T12:33:00Z</dcterms:created>
  <dcterms:modified xsi:type="dcterms:W3CDTF">2020-04-26T12:33:00Z</dcterms:modified>
</cp:coreProperties>
</file>