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869" w:rsidRPr="00C92869" w:rsidRDefault="00C92869" w:rsidP="00C92869">
      <w:pPr>
        <w:jc w:val="center"/>
        <w:rPr>
          <w:sz w:val="32"/>
          <w:szCs w:val="32"/>
          <w:lang w:bidi="ar-EG"/>
        </w:rPr>
      </w:pPr>
      <w:bookmarkStart w:id="0" w:name="Anchor1"/>
      <w:bookmarkEnd w:id="0"/>
      <w:r w:rsidRPr="00C92869">
        <w:rPr>
          <w:sz w:val="32"/>
          <w:szCs w:val="32"/>
          <w:rtl/>
        </w:rPr>
        <w:t>الطعن رقم 425</w:t>
      </w:r>
      <w:bookmarkStart w:id="1" w:name="_GoBack"/>
      <w:bookmarkEnd w:id="1"/>
    </w:p>
    <w:p w:rsidR="00C92869" w:rsidRPr="00C92869" w:rsidRDefault="00C92869" w:rsidP="00C92869">
      <w:pPr>
        <w:rPr>
          <w:sz w:val="32"/>
          <w:szCs w:val="32"/>
          <w:lang w:bidi="ar-EG"/>
        </w:rPr>
      </w:pPr>
      <w:bookmarkStart w:id="2" w:name="Anchor5"/>
      <w:bookmarkEnd w:id="2"/>
      <w:r w:rsidRPr="00C92869">
        <w:rPr>
          <w:sz w:val="32"/>
          <w:szCs w:val="32"/>
          <w:rtl/>
        </w:rPr>
        <w:t>هيئة المحكمة</w:t>
      </w:r>
      <w:r w:rsidRPr="00C92869">
        <w:rPr>
          <w:sz w:val="32"/>
          <w:szCs w:val="32"/>
          <w:lang w:bidi="ar-EG"/>
        </w:rPr>
        <w:t xml:space="preserve">: </w:t>
      </w:r>
      <w:r w:rsidRPr="00C92869">
        <w:rPr>
          <w:sz w:val="32"/>
          <w:szCs w:val="32"/>
          <w:rtl/>
        </w:rPr>
        <w:t>برئاسة السيد المستشار يونس محمد الياسين وكيل المحكمة وعضوية السادة المستشارين عادل علي البحوه ومحمد رشدي وإبراهيم الضبع وهشام فروايلة</w:t>
      </w:r>
    </w:p>
    <w:bookmarkStart w:id="3" w:name="Anchor25"/>
    <w:bookmarkEnd w:id="3"/>
    <w:p w:rsidR="00C92869" w:rsidRPr="00C92869" w:rsidRDefault="00C92869" w:rsidP="00C92869">
      <w:pPr>
        <w:rPr>
          <w:sz w:val="32"/>
          <w:szCs w:val="32"/>
          <w:lang w:bidi="ar-EG"/>
        </w:rPr>
      </w:pPr>
      <w:r w:rsidRPr="00C92869">
        <w:rPr>
          <w:sz w:val="32"/>
          <w:szCs w:val="32"/>
          <w:lang w:bidi="ar-EG"/>
        </w:rPr>
        <w:fldChar w:fldCharType="begin"/>
      </w:r>
      <w:r w:rsidRPr="00C92869">
        <w:rPr>
          <w:sz w:val="32"/>
          <w:szCs w:val="32"/>
          <w:lang w:bidi="ar-EG"/>
        </w:rPr>
        <w:instrText xml:space="preserve"> HYPERLINK "http://www.law.gov.kw/KWT_CC-Ar/00_2014/00_%D8%A7%D9%84%D8%AF%D8%A7%D8%A6%D8%B1%D8%A9%20%D8%A7%D9%84%D8%AA%D8%AC%D8%A7%D8%B1%D9%8A%D8%A9/KWT-CC-Ar_2014-11-10_00425_Taan.html" \l "TM2014_425_1" </w:instrText>
      </w:r>
      <w:r w:rsidRPr="00C92869">
        <w:rPr>
          <w:sz w:val="32"/>
          <w:szCs w:val="32"/>
          <w:lang w:bidi="ar-EG"/>
        </w:rPr>
        <w:fldChar w:fldCharType="separate"/>
      </w:r>
      <w:r w:rsidRPr="00C92869">
        <w:rPr>
          <w:rStyle w:val="Hyperlink"/>
          <w:sz w:val="32"/>
          <w:szCs w:val="32"/>
          <w:lang w:bidi="ar-EG"/>
        </w:rPr>
        <w:t xml:space="preserve">1- </w:t>
      </w:r>
      <w:r w:rsidRPr="00C92869">
        <w:rPr>
          <w:rStyle w:val="Hyperlink"/>
          <w:sz w:val="32"/>
          <w:szCs w:val="32"/>
          <w:rtl/>
        </w:rPr>
        <w:t>ان لمحكمة الموضوع سلطة تفسير العقود والشروط المختلف عليها بما تراه أوفى بمقصود عاقديها</w:t>
      </w:r>
      <w:r w:rsidRPr="00C92869">
        <w:rPr>
          <w:rStyle w:val="Hyperlink"/>
          <w:sz w:val="32"/>
          <w:szCs w:val="32"/>
          <w:lang w:bidi="ar-EG"/>
        </w:rPr>
        <w:t>.</w:t>
      </w:r>
      <w:r w:rsidRPr="00C92869">
        <w:rPr>
          <w:sz w:val="32"/>
          <w:szCs w:val="32"/>
          <w:lang w:bidi="ar-EG"/>
        </w:rPr>
        <w:fldChar w:fldCharType="end"/>
      </w:r>
    </w:p>
    <w:bookmarkStart w:id="4" w:name="Anchor36"/>
    <w:bookmarkEnd w:id="4"/>
    <w:p w:rsidR="00C92869" w:rsidRPr="00C92869" w:rsidRDefault="00C92869" w:rsidP="00C92869">
      <w:pPr>
        <w:rPr>
          <w:sz w:val="32"/>
          <w:szCs w:val="32"/>
          <w:lang w:bidi="ar-EG"/>
        </w:rPr>
      </w:pPr>
      <w:r w:rsidRPr="00C92869">
        <w:rPr>
          <w:sz w:val="32"/>
          <w:szCs w:val="32"/>
          <w:lang w:bidi="ar-EG"/>
        </w:rPr>
        <w:fldChar w:fldCharType="begin"/>
      </w:r>
      <w:r w:rsidRPr="00C92869">
        <w:rPr>
          <w:sz w:val="32"/>
          <w:szCs w:val="32"/>
          <w:lang w:bidi="ar-EG"/>
        </w:rPr>
        <w:instrText xml:space="preserve"> HYPERLINK "http://www.law.gov.kw/KWT_CC-Ar/00_2014/00_%D8%A7%D9%84%D8%AF%D8%A7%D8%A6%D8%B1%D8%A9%20%D8%A7%D9%84%D8%AA%D8%AC%D8%A7%D8%B1%D9%8A%D8%A9/KWT-CC-Ar_2014-11-10_00425_Taan.html" \l "TM2014_425_2" </w:instrText>
      </w:r>
      <w:r w:rsidRPr="00C92869">
        <w:rPr>
          <w:sz w:val="32"/>
          <w:szCs w:val="32"/>
          <w:lang w:bidi="ar-EG"/>
        </w:rPr>
        <w:fldChar w:fldCharType="separate"/>
      </w:r>
      <w:r w:rsidRPr="00C92869">
        <w:rPr>
          <w:rStyle w:val="Hyperlink"/>
          <w:sz w:val="32"/>
          <w:szCs w:val="32"/>
          <w:lang w:bidi="ar-EG"/>
        </w:rPr>
        <w:t xml:space="preserve">2- </w:t>
      </w:r>
      <w:r w:rsidRPr="00C92869">
        <w:rPr>
          <w:rStyle w:val="Hyperlink"/>
          <w:sz w:val="32"/>
          <w:szCs w:val="32"/>
          <w:rtl/>
        </w:rPr>
        <w:t>ان للمحكمة السلطة في تحصيل وفهم الواقع في الدعوى والوقوف على حقيقتها من الوقائع والادلة والشواهد وبحث ما يقدم اليها من الدلائل والمستندات</w:t>
      </w:r>
      <w:r w:rsidRPr="00C92869">
        <w:rPr>
          <w:rStyle w:val="Hyperlink"/>
          <w:sz w:val="32"/>
          <w:szCs w:val="32"/>
          <w:lang w:bidi="ar-EG"/>
        </w:rPr>
        <w:t>.</w:t>
      </w:r>
      <w:r w:rsidRPr="00C92869">
        <w:rPr>
          <w:sz w:val="32"/>
          <w:szCs w:val="32"/>
          <w:lang w:bidi="ar-EG"/>
        </w:rPr>
        <w:fldChar w:fldCharType="end"/>
      </w:r>
    </w:p>
    <w:bookmarkStart w:id="5" w:name="Anchor52"/>
    <w:bookmarkEnd w:id="5"/>
    <w:p w:rsidR="00C92869" w:rsidRPr="00C92869" w:rsidRDefault="00C92869" w:rsidP="00C92869">
      <w:pPr>
        <w:rPr>
          <w:sz w:val="32"/>
          <w:szCs w:val="32"/>
          <w:lang w:bidi="ar-EG"/>
        </w:rPr>
      </w:pPr>
      <w:r w:rsidRPr="00C92869">
        <w:rPr>
          <w:sz w:val="32"/>
          <w:szCs w:val="32"/>
          <w:lang w:bidi="ar-EG"/>
        </w:rPr>
        <w:fldChar w:fldCharType="begin"/>
      </w:r>
      <w:r w:rsidRPr="00C92869">
        <w:rPr>
          <w:sz w:val="32"/>
          <w:szCs w:val="32"/>
          <w:lang w:bidi="ar-EG"/>
        </w:rPr>
        <w:instrText xml:space="preserve"> HYPERLINK "http://www.law.gov.kw/KWT_CC-Ar/00_2014/00_%D8%A7%D9%84%D8%AF%D8%A7%D8%A6%D8%B1%D8%A9%20%D8%A7%D9%84%D8%AA%D8%AC%D8%A7%D8%B1%D9%8A%D8%A9/KWT-CC-Ar_2014-11-10_00425_Taan.html" \l "TM2014_425_3" </w:instrText>
      </w:r>
      <w:r w:rsidRPr="00C92869">
        <w:rPr>
          <w:sz w:val="32"/>
          <w:szCs w:val="32"/>
          <w:lang w:bidi="ar-EG"/>
        </w:rPr>
        <w:fldChar w:fldCharType="separate"/>
      </w:r>
      <w:r w:rsidRPr="00C92869">
        <w:rPr>
          <w:rStyle w:val="Hyperlink"/>
          <w:sz w:val="32"/>
          <w:szCs w:val="32"/>
          <w:lang w:bidi="ar-EG"/>
        </w:rPr>
        <w:t xml:space="preserve">3- </w:t>
      </w:r>
      <w:r w:rsidRPr="00C92869">
        <w:rPr>
          <w:rStyle w:val="Hyperlink"/>
          <w:sz w:val="32"/>
          <w:szCs w:val="32"/>
          <w:rtl/>
        </w:rPr>
        <w:t>ان الحكم المطعون فيه قضى بإلزام الشركة الطاعنة بـتأدية مبلغ من المال للشركة المطعون ضدها لاقتصار شرط التحكيم الملحق بوثيقة التأمين على المنازعات المتعلقة بتقدير الاضرار الناتجة عن خطر الحريق فقط دون سواه من المخاطر المقدمة منها ومنها اضرار الشركة</w:t>
      </w:r>
      <w:r w:rsidRPr="00C92869">
        <w:rPr>
          <w:rStyle w:val="Hyperlink"/>
          <w:sz w:val="32"/>
          <w:szCs w:val="32"/>
          <w:lang w:bidi="ar-EG"/>
        </w:rPr>
        <w:t>.</w:t>
      </w:r>
      <w:r w:rsidRPr="00C92869">
        <w:rPr>
          <w:sz w:val="32"/>
          <w:szCs w:val="32"/>
          <w:lang w:bidi="ar-EG"/>
        </w:rPr>
        <w:fldChar w:fldCharType="end"/>
      </w:r>
      <w:r w:rsidRPr="00C92869">
        <w:rPr>
          <w:sz w:val="32"/>
          <w:szCs w:val="32"/>
          <w:lang w:bidi="ar-EG"/>
        </w:rPr>
        <w:br/>
      </w:r>
      <w:r w:rsidRPr="00C92869">
        <w:rPr>
          <w:sz w:val="32"/>
          <w:szCs w:val="32"/>
          <w:lang w:bidi="ar-EG"/>
        </w:rPr>
        <w:br/>
      </w:r>
      <w:r w:rsidRPr="00C92869">
        <w:rPr>
          <w:sz w:val="32"/>
          <w:szCs w:val="32"/>
          <w:u w:val="single"/>
          <w:rtl/>
        </w:rPr>
        <w:t>ملاحظة</w:t>
      </w:r>
      <w:r w:rsidRPr="00C92869">
        <w:rPr>
          <w:sz w:val="32"/>
          <w:szCs w:val="32"/>
          <w:u w:val="single"/>
          <w:lang w:bidi="ar-EG"/>
        </w:rPr>
        <w:t xml:space="preserve"> :</w:t>
      </w:r>
      <w:r w:rsidRPr="00C92869">
        <w:rPr>
          <w:sz w:val="32"/>
          <w:szCs w:val="32"/>
          <w:lang w:bidi="ar-EG"/>
        </w:rPr>
        <w:br/>
      </w:r>
      <w:r w:rsidRPr="00C92869">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C92869" w:rsidRPr="00C92869" w:rsidRDefault="00C92869" w:rsidP="00C92869">
      <w:pPr>
        <w:rPr>
          <w:sz w:val="32"/>
          <w:szCs w:val="32"/>
          <w:lang w:bidi="ar-EG"/>
        </w:rPr>
      </w:pPr>
      <w:bookmarkStart w:id="6" w:name="Anchor79"/>
      <w:bookmarkEnd w:id="6"/>
      <w:r w:rsidRPr="00C92869">
        <w:rPr>
          <w:b/>
          <w:bCs/>
          <w:sz w:val="32"/>
          <w:szCs w:val="32"/>
          <w:rtl/>
        </w:rPr>
        <w:t>المحكمة</w:t>
      </w:r>
    </w:p>
    <w:p w:rsidR="00C92869" w:rsidRPr="00C92869" w:rsidRDefault="00C92869" w:rsidP="00C92869">
      <w:pPr>
        <w:rPr>
          <w:sz w:val="32"/>
          <w:szCs w:val="32"/>
          <w:lang w:bidi="ar-EG"/>
        </w:rPr>
      </w:pPr>
      <w:bookmarkStart w:id="7" w:name="Anchor80"/>
      <w:bookmarkEnd w:id="7"/>
      <w:r w:rsidRPr="00C92869">
        <w:rPr>
          <w:sz w:val="32"/>
          <w:szCs w:val="32"/>
          <w:rtl/>
        </w:rPr>
        <w:t>بعد الاطلاع على الأوراق، والمداولة</w:t>
      </w:r>
      <w:r w:rsidRPr="00C92869">
        <w:rPr>
          <w:sz w:val="32"/>
          <w:szCs w:val="32"/>
          <w:lang w:bidi="ar-EG"/>
        </w:rPr>
        <w:t>.</w:t>
      </w:r>
    </w:p>
    <w:p w:rsidR="00C92869" w:rsidRPr="00C92869" w:rsidRDefault="00C92869" w:rsidP="00C92869">
      <w:pPr>
        <w:rPr>
          <w:sz w:val="32"/>
          <w:szCs w:val="32"/>
          <w:lang w:bidi="ar-EG"/>
        </w:rPr>
      </w:pPr>
      <w:bookmarkStart w:id="8" w:name="Anchor84"/>
      <w:bookmarkStart w:id="9" w:name="TM2014_425_1"/>
      <w:bookmarkEnd w:id="8"/>
      <w:bookmarkEnd w:id="9"/>
      <w:r w:rsidRPr="00C92869">
        <w:rPr>
          <w:b/>
          <w:bCs/>
          <w:sz w:val="32"/>
          <w:szCs w:val="32"/>
          <w:rtl/>
        </w:rPr>
        <w:t xml:space="preserve">لما كان لمحكمة الموضوع السلطة في تفسير العقود والشروط المختلف عليها بما تراه أوفى بمقصود عاقديها، متى كان تفسيرها مما تحتمله عباراتها ولا خروج فيها عن المعنى الظاهر بها </w:t>
      </w:r>
      <w:r w:rsidRPr="00C92869">
        <w:rPr>
          <w:sz w:val="32"/>
          <w:szCs w:val="32"/>
          <w:rtl/>
        </w:rPr>
        <w:t>كما</w:t>
      </w:r>
      <w:r w:rsidRPr="00C92869">
        <w:rPr>
          <w:b/>
          <w:bCs/>
          <w:sz w:val="32"/>
          <w:szCs w:val="32"/>
          <w:rtl/>
        </w:rPr>
        <w:t xml:space="preserve"> </w:t>
      </w:r>
      <w:bookmarkStart w:id="10" w:name="TM2014_425_2"/>
      <w:bookmarkEnd w:id="10"/>
      <w:r w:rsidRPr="00C92869">
        <w:rPr>
          <w:b/>
          <w:bCs/>
          <w:sz w:val="32"/>
          <w:szCs w:val="32"/>
          <w:rtl/>
        </w:rPr>
        <w:t>أن لها تحصيل وفهم الواقع في الدعوى والوقوف على حقيقتها من الوقائع والأدلة والشواهد المعروضة عليها وبحث ما يقدم إليها من الدلائل والمستندات والأخذ بما تطمئن إليه وإطراح ما عداه</w:t>
      </w:r>
      <w:r w:rsidRPr="00C92869">
        <w:rPr>
          <w:b/>
          <w:bCs/>
          <w:sz w:val="32"/>
          <w:szCs w:val="32"/>
          <w:lang w:bidi="ar-EG"/>
        </w:rPr>
        <w:t>.</w:t>
      </w:r>
    </w:p>
    <w:p w:rsidR="00C92869" w:rsidRPr="00C92869" w:rsidRDefault="00C92869" w:rsidP="00C92869">
      <w:pPr>
        <w:rPr>
          <w:sz w:val="32"/>
          <w:szCs w:val="32"/>
          <w:lang w:bidi="ar-EG"/>
        </w:rPr>
      </w:pPr>
      <w:bookmarkStart w:id="11" w:name="Anchor121"/>
      <w:bookmarkStart w:id="12" w:name="TM2014_425_3"/>
      <w:bookmarkEnd w:id="11"/>
      <w:bookmarkEnd w:id="12"/>
      <w:r w:rsidRPr="00C92869">
        <w:rPr>
          <w:b/>
          <w:bCs/>
          <w:sz w:val="32"/>
          <w:szCs w:val="32"/>
          <w:rtl/>
        </w:rPr>
        <w:t xml:space="preserve">وكان الحكم المطعون فيه قد أقام قضاءه بتأييد الحكم الإبتدائي بإلزام الشركة الطاعنة بأن تؤدي للشركة المطعون ضدها مبلغ 75,65603د.ك على ما خلص إليه من تفسيره لشرط التحكيم الملحق بوثيقة التأمين من أنه يقتصر على المنازعات المتعلقة بتقدير الأضرار الناتجة عن خطر الحريق فقط دون سواه من المخاطر المقدمة منها ومنها أضرار الشركة، واحتساب قيمة البضاعة المسروقة على النحو المبين بكتاب الشركة المطعون ضدها والمذيل بخاتم الطاعنة المؤرخ </w:t>
      </w:r>
      <w:r w:rsidRPr="00C92869">
        <w:rPr>
          <w:b/>
          <w:bCs/>
          <w:sz w:val="32"/>
          <w:szCs w:val="32"/>
          <w:rtl/>
        </w:rPr>
        <w:lastRenderedPageBreak/>
        <w:t xml:space="preserve">2011/9/20 وما انتهى إليه خبيري الطاعنة </w:t>
      </w:r>
      <w:r w:rsidRPr="00C92869">
        <w:rPr>
          <w:b/>
          <w:bCs/>
          <w:sz w:val="32"/>
          <w:szCs w:val="32"/>
          <w:lang w:bidi="ar-EG"/>
        </w:rPr>
        <w:t xml:space="preserve">..... </w:t>
      </w:r>
      <w:r w:rsidRPr="00C92869">
        <w:rPr>
          <w:b/>
          <w:bCs/>
          <w:sz w:val="32"/>
          <w:szCs w:val="32"/>
          <w:rtl/>
        </w:rPr>
        <w:t xml:space="preserve">و </w:t>
      </w:r>
      <w:r w:rsidRPr="00C92869">
        <w:rPr>
          <w:b/>
          <w:bCs/>
          <w:sz w:val="32"/>
          <w:szCs w:val="32"/>
          <w:lang w:bidi="ar-EG"/>
        </w:rPr>
        <w:t xml:space="preserve">..... </w:t>
      </w:r>
      <w:r w:rsidRPr="00C92869">
        <w:rPr>
          <w:b/>
          <w:bCs/>
          <w:sz w:val="32"/>
          <w:szCs w:val="32"/>
          <w:rtl/>
        </w:rPr>
        <w:t xml:space="preserve">من تقدير قيمة البضاعة المسروقة بناء على جرد الفواتير، وكان ذلك من الحكم سائغاً وكافياً لحمل قضاءه </w:t>
      </w:r>
      <w:r w:rsidRPr="00C92869">
        <w:rPr>
          <w:sz w:val="32"/>
          <w:szCs w:val="32"/>
          <w:rtl/>
        </w:rPr>
        <w:t>فلا يترتب عليه إن لم يجيب الطاعنة إلى طلبها ندب خبير طالما وجدت في أوراق الدعوى ما يكفي لتكوين عقيدتها. بما ينحل معه سببي الطعن إلى جدل فيما لمحكمة الموضوع من سلطة تقديرية غير مقبول</w:t>
      </w:r>
      <w:r w:rsidRPr="00C92869">
        <w:rPr>
          <w:sz w:val="32"/>
          <w:szCs w:val="32"/>
          <w:lang w:bidi="ar-EG"/>
        </w:rPr>
        <w:t xml:space="preserve">. </w:t>
      </w:r>
      <w:r w:rsidRPr="00C92869">
        <w:rPr>
          <w:sz w:val="32"/>
          <w:szCs w:val="32"/>
          <w:rtl/>
        </w:rPr>
        <w:t>ويضحى الطعن وقد أقيم على غير الأسباب المبينة بالمادة 152 من قانون المرافعات تقرر معه المحكمة عدم قبوله عملاً بالمادة 154/5 من ذات القانون</w:t>
      </w:r>
      <w:r w:rsidRPr="00C92869">
        <w:rPr>
          <w:sz w:val="32"/>
          <w:szCs w:val="32"/>
          <w:lang w:bidi="ar-EG"/>
        </w:rPr>
        <w:t>.</w:t>
      </w:r>
    </w:p>
    <w:p w:rsidR="00C92869" w:rsidRPr="00C92869" w:rsidRDefault="00C92869" w:rsidP="00C92869">
      <w:pPr>
        <w:rPr>
          <w:sz w:val="32"/>
          <w:szCs w:val="32"/>
          <w:lang w:bidi="ar-EG"/>
        </w:rPr>
      </w:pPr>
      <w:bookmarkStart w:id="13" w:name="Anchor205"/>
      <w:bookmarkEnd w:id="13"/>
      <w:r w:rsidRPr="00C92869">
        <w:rPr>
          <w:sz w:val="32"/>
          <w:szCs w:val="32"/>
          <w:rtl/>
        </w:rPr>
        <w:t>لذلك</w:t>
      </w:r>
    </w:p>
    <w:p w:rsidR="00C92869" w:rsidRPr="00C92869" w:rsidRDefault="00C92869" w:rsidP="00C92869">
      <w:pPr>
        <w:rPr>
          <w:sz w:val="32"/>
          <w:szCs w:val="32"/>
          <w:lang w:bidi="ar-EG"/>
        </w:rPr>
      </w:pPr>
      <w:bookmarkStart w:id="14" w:name="Anchor206"/>
      <w:bookmarkEnd w:id="14"/>
      <w:r w:rsidRPr="00C92869">
        <w:rPr>
          <w:sz w:val="32"/>
          <w:szCs w:val="32"/>
          <w:rtl/>
        </w:rPr>
        <w:t xml:space="preserve">قررت المحكمة </w:t>
      </w:r>
      <w:r w:rsidRPr="00C92869">
        <w:rPr>
          <w:sz w:val="32"/>
          <w:szCs w:val="32"/>
          <w:lang w:bidi="ar-EG"/>
        </w:rPr>
        <w:t xml:space="preserve">– </w:t>
      </w:r>
      <w:r w:rsidRPr="00C92869">
        <w:rPr>
          <w:sz w:val="32"/>
          <w:szCs w:val="32"/>
          <w:rtl/>
        </w:rPr>
        <w:t>في غرفة المشورة</w:t>
      </w:r>
      <w:r w:rsidRPr="00C92869">
        <w:rPr>
          <w:sz w:val="32"/>
          <w:szCs w:val="32"/>
          <w:lang w:bidi="ar-EG"/>
        </w:rPr>
        <w:t xml:space="preserve">- </w:t>
      </w:r>
      <w:r w:rsidRPr="00C92869">
        <w:rPr>
          <w:sz w:val="32"/>
          <w:szCs w:val="32"/>
          <w:rtl/>
        </w:rPr>
        <w:t>عدم قبول الطعن وألزمت الطاعنة المصروفات مع مصادرة الكفالة</w:t>
      </w:r>
      <w:r w:rsidRPr="00C92869">
        <w:rPr>
          <w:sz w:val="32"/>
          <w:szCs w:val="32"/>
          <w:lang w:bidi="ar-EG"/>
        </w:rPr>
        <w:t>.</w:t>
      </w:r>
    </w:p>
    <w:p w:rsidR="00C92869" w:rsidRPr="00C92869" w:rsidRDefault="00C92869" w:rsidP="00C92869">
      <w:pPr>
        <w:rPr>
          <w:sz w:val="32"/>
          <w:szCs w:val="32"/>
          <w:lang w:bidi="ar-EG"/>
        </w:rPr>
      </w:pPr>
    </w:p>
    <w:p w:rsidR="00C92869" w:rsidRPr="00C92869" w:rsidRDefault="00C92869" w:rsidP="00C92869">
      <w:pPr>
        <w:rPr>
          <w:sz w:val="32"/>
          <w:szCs w:val="32"/>
          <w:lang w:bidi="ar-EG"/>
        </w:rPr>
      </w:pPr>
      <w:bookmarkStart w:id="15" w:name="Anchor218"/>
      <w:bookmarkEnd w:id="15"/>
      <w:r w:rsidRPr="00C92869">
        <w:rPr>
          <w:sz w:val="32"/>
          <w:szCs w:val="32"/>
          <w:lang w:bidi="ar-EG"/>
        </w:rPr>
        <w:t>* * *</w:t>
      </w:r>
    </w:p>
    <w:p w:rsidR="008C2BA0" w:rsidRPr="00C92869" w:rsidRDefault="008C2BA0">
      <w:pPr>
        <w:rPr>
          <w:rFonts w:hint="cs"/>
          <w:sz w:val="32"/>
          <w:szCs w:val="32"/>
          <w:lang w:bidi="ar-EG"/>
        </w:rPr>
      </w:pPr>
    </w:p>
    <w:sectPr w:rsidR="008C2BA0" w:rsidRPr="00C92869"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0DE"/>
    <w:rsid w:val="0003272B"/>
    <w:rsid w:val="005620DE"/>
    <w:rsid w:val="008C2BA0"/>
    <w:rsid w:val="00C928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8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8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433776">
      <w:bodyDiv w:val="1"/>
      <w:marLeft w:val="0"/>
      <w:marRight w:val="0"/>
      <w:marTop w:val="0"/>
      <w:marBottom w:val="0"/>
      <w:divBdr>
        <w:top w:val="none" w:sz="0" w:space="0" w:color="auto"/>
        <w:left w:val="none" w:sz="0" w:space="0" w:color="auto"/>
        <w:bottom w:val="none" w:sz="0" w:space="0" w:color="auto"/>
        <w:right w:val="none" w:sz="0" w:space="0" w:color="auto"/>
      </w:divBdr>
      <w:divsChild>
        <w:div w:id="1946569393">
          <w:marLeft w:val="0"/>
          <w:marRight w:val="0"/>
          <w:marTop w:val="0"/>
          <w:marBottom w:val="0"/>
          <w:divBdr>
            <w:top w:val="none" w:sz="0" w:space="0" w:color="auto"/>
            <w:left w:val="none" w:sz="0" w:space="0" w:color="auto"/>
            <w:bottom w:val="none" w:sz="0" w:space="0" w:color="auto"/>
            <w:right w:val="none" w:sz="0" w:space="0" w:color="auto"/>
          </w:divBdr>
        </w:div>
        <w:div w:id="295911629">
          <w:marLeft w:val="0"/>
          <w:marRight w:val="0"/>
          <w:marTop w:val="0"/>
          <w:marBottom w:val="0"/>
          <w:divBdr>
            <w:top w:val="none" w:sz="0" w:space="0" w:color="auto"/>
            <w:left w:val="none" w:sz="0" w:space="0" w:color="auto"/>
            <w:bottom w:val="none" w:sz="0" w:space="0" w:color="auto"/>
            <w:right w:val="none" w:sz="0" w:space="0" w:color="auto"/>
          </w:divBdr>
        </w:div>
        <w:div w:id="88816899">
          <w:marLeft w:val="0"/>
          <w:marRight w:val="0"/>
          <w:marTop w:val="0"/>
          <w:marBottom w:val="0"/>
          <w:divBdr>
            <w:top w:val="none" w:sz="0" w:space="0" w:color="auto"/>
            <w:left w:val="none" w:sz="0" w:space="0" w:color="auto"/>
            <w:bottom w:val="none" w:sz="0" w:space="0" w:color="auto"/>
            <w:right w:val="none" w:sz="0" w:space="0" w:color="auto"/>
          </w:divBdr>
        </w:div>
        <w:div w:id="781458569">
          <w:marLeft w:val="0"/>
          <w:marRight w:val="0"/>
          <w:marTop w:val="0"/>
          <w:marBottom w:val="0"/>
          <w:divBdr>
            <w:top w:val="none" w:sz="0" w:space="0" w:color="auto"/>
            <w:left w:val="none" w:sz="0" w:space="0" w:color="auto"/>
            <w:bottom w:val="none" w:sz="0" w:space="0" w:color="auto"/>
            <w:right w:val="none" w:sz="0" w:space="0" w:color="auto"/>
          </w:divBdr>
        </w:div>
        <w:div w:id="1101923108">
          <w:marLeft w:val="0"/>
          <w:marRight w:val="0"/>
          <w:marTop w:val="0"/>
          <w:marBottom w:val="0"/>
          <w:divBdr>
            <w:top w:val="none" w:sz="0" w:space="0" w:color="auto"/>
            <w:left w:val="none" w:sz="0" w:space="0" w:color="auto"/>
            <w:bottom w:val="none" w:sz="0" w:space="0" w:color="auto"/>
            <w:right w:val="none" w:sz="0" w:space="0" w:color="auto"/>
          </w:divBdr>
        </w:div>
        <w:div w:id="1954434613">
          <w:marLeft w:val="0"/>
          <w:marRight w:val="0"/>
          <w:marTop w:val="0"/>
          <w:marBottom w:val="0"/>
          <w:divBdr>
            <w:top w:val="none" w:sz="0" w:space="0" w:color="auto"/>
            <w:left w:val="none" w:sz="0" w:space="0" w:color="auto"/>
            <w:bottom w:val="none" w:sz="0" w:space="0" w:color="auto"/>
            <w:right w:val="none" w:sz="0" w:space="0" w:color="auto"/>
          </w:divBdr>
        </w:div>
        <w:div w:id="1952664256">
          <w:marLeft w:val="0"/>
          <w:marRight w:val="0"/>
          <w:marTop w:val="0"/>
          <w:marBottom w:val="0"/>
          <w:divBdr>
            <w:top w:val="none" w:sz="0" w:space="0" w:color="auto"/>
            <w:left w:val="none" w:sz="0" w:space="0" w:color="auto"/>
            <w:bottom w:val="none" w:sz="0" w:space="0" w:color="auto"/>
            <w:right w:val="none" w:sz="0" w:space="0" w:color="auto"/>
          </w:divBdr>
        </w:div>
        <w:div w:id="1322150159">
          <w:marLeft w:val="0"/>
          <w:marRight w:val="0"/>
          <w:marTop w:val="0"/>
          <w:marBottom w:val="0"/>
          <w:divBdr>
            <w:top w:val="none" w:sz="0" w:space="0" w:color="auto"/>
            <w:left w:val="none" w:sz="0" w:space="0" w:color="auto"/>
            <w:bottom w:val="none" w:sz="0" w:space="0" w:color="auto"/>
            <w:right w:val="none" w:sz="0" w:space="0" w:color="auto"/>
          </w:divBdr>
        </w:div>
        <w:div w:id="2136945000">
          <w:marLeft w:val="0"/>
          <w:marRight w:val="0"/>
          <w:marTop w:val="0"/>
          <w:marBottom w:val="0"/>
          <w:divBdr>
            <w:top w:val="none" w:sz="0" w:space="0" w:color="auto"/>
            <w:left w:val="none" w:sz="0" w:space="0" w:color="auto"/>
            <w:bottom w:val="none" w:sz="0" w:space="0" w:color="auto"/>
            <w:right w:val="none" w:sz="0" w:space="0" w:color="auto"/>
          </w:divBdr>
        </w:div>
        <w:div w:id="190924280">
          <w:marLeft w:val="0"/>
          <w:marRight w:val="0"/>
          <w:marTop w:val="0"/>
          <w:marBottom w:val="0"/>
          <w:divBdr>
            <w:top w:val="none" w:sz="0" w:space="0" w:color="auto"/>
            <w:left w:val="none" w:sz="0" w:space="0" w:color="auto"/>
            <w:bottom w:val="none" w:sz="0" w:space="0" w:color="auto"/>
            <w:right w:val="none" w:sz="0" w:space="0" w:color="auto"/>
          </w:divBdr>
        </w:div>
        <w:div w:id="1638800991">
          <w:marLeft w:val="0"/>
          <w:marRight w:val="0"/>
          <w:marTop w:val="0"/>
          <w:marBottom w:val="0"/>
          <w:divBdr>
            <w:top w:val="none" w:sz="0" w:space="0" w:color="auto"/>
            <w:left w:val="none" w:sz="0" w:space="0" w:color="auto"/>
            <w:bottom w:val="none" w:sz="0" w:space="0" w:color="auto"/>
            <w:right w:val="none" w:sz="0" w:space="0" w:color="auto"/>
          </w:divBdr>
        </w:div>
        <w:div w:id="1161040541">
          <w:marLeft w:val="0"/>
          <w:marRight w:val="0"/>
          <w:marTop w:val="0"/>
          <w:marBottom w:val="0"/>
          <w:divBdr>
            <w:top w:val="none" w:sz="0" w:space="0" w:color="auto"/>
            <w:left w:val="none" w:sz="0" w:space="0" w:color="auto"/>
            <w:bottom w:val="none" w:sz="0" w:space="0" w:color="auto"/>
            <w:right w:val="none" w:sz="0" w:space="0" w:color="auto"/>
          </w:divBdr>
        </w:div>
      </w:divsChild>
    </w:div>
    <w:div w:id="745809392">
      <w:bodyDiv w:val="1"/>
      <w:marLeft w:val="0"/>
      <w:marRight w:val="0"/>
      <w:marTop w:val="0"/>
      <w:marBottom w:val="0"/>
      <w:divBdr>
        <w:top w:val="none" w:sz="0" w:space="0" w:color="auto"/>
        <w:left w:val="none" w:sz="0" w:space="0" w:color="auto"/>
        <w:bottom w:val="none" w:sz="0" w:space="0" w:color="auto"/>
        <w:right w:val="none" w:sz="0" w:space="0" w:color="auto"/>
      </w:divBdr>
      <w:divsChild>
        <w:div w:id="1016225138">
          <w:marLeft w:val="0"/>
          <w:marRight w:val="0"/>
          <w:marTop w:val="0"/>
          <w:marBottom w:val="0"/>
          <w:divBdr>
            <w:top w:val="none" w:sz="0" w:space="0" w:color="auto"/>
            <w:left w:val="none" w:sz="0" w:space="0" w:color="auto"/>
            <w:bottom w:val="none" w:sz="0" w:space="0" w:color="auto"/>
            <w:right w:val="none" w:sz="0" w:space="0" w:color="auto"/>
          </w:divBdr>
        </w:div>
        <w:div w:id="34356393">
          <w:marLeft w:val="0"/>
          <w:marRight w:val="0"/>
          <w:marTop w:val="0"/>
          <w:marBottom w:val="0"/>
          <w:divBdr>
            <w:top w:val="none" w:sz="0" w:space="0" w:color="auto"/>
            <w:left w:val="none" w:sz="0" w:space="0" w:color="auto"/>
            <w:bottom w:val="none" w:sz="0" w:space="0" w:color="auto"/>
            <w:right w:val="none" w:sz="0" w:space="0" w:color="auto"/>
          </w:divBdr>
        </w:div>
        <w:div w:id="658852471">
          <w:marLeft w:val="0"/>
          <w:marRight w:val="0"/>
          <w:marTop w:val="0"/>
          <w:marBottom w:val="0"/>
          <w:divBdr>
            <w:top w:val="none" w:sz="0" w:space="0" w:color="auto"/>
            <w:left w:val="none" w:sz="0" w:space="0" w:color="auto"/>
            <w:bottom w:val="none" w:sz="0" w:space="0" w:color="auto"/>
            <w:right w:val="none" w:sz="0" w:space="0" w:color="auto"/>
          </w:divBdr>
        </w:div>
        <w:div w:id="1669019094">
          <w:marLeft w:val="0"/>
          <w:marRight w:val="0"/>
          <w:marTop w:val="0"/>
          <w:marBottom w:val="0"/>
          <w:divBdr>
            <w:top w:val="none" w:sz="0" w:space="0" w:color="auto"/>
            <w:left w:val="none" w:sz="0" w:space="0" w:color="auto"/>
            <w:bottom w:val="none" w:sz="0" w:space="0" w:color="auto"/>
            <w:right w:val="none" w:sz="0" w:space="0" w:color="auto"/>
          </w:divBdr>
        </w:div>
        <w:div w:id="2109957802">
          <w:marLeft w:val="0"/>
          <w:marRight w:val="0"/>
          <w:marTop w:val="0"/>
          <w:marBottom w:val="0"/>
          <w:divBdr>
            <w:top w:val="none" w:sz="0" w:space="0" w:color="auto"/>
            <w:left w:val="none" w:sz="0" w:space="0" w:color="auto"/>
            <w:bottom w:val="none" w:sz="0" w:space="0" w:color="auto"/>
            <w:right w:val="none" w:sz="0" w:space="0" w:color="auto"/>
          </w:divBdr>
        </w:div>
        <w:div w:id="818545381">
          <w:marLeft w:val="0"/>
          <w:marRight w:val="0"/>
          <w:marTop w:val="0"/>
          <w:marBottom w:val="0"/>
          <w:divBdr>
            <w:top w:val="none" w:sz="0" w:space="0" w:color="auto"/>
            <w:left w:val="none" w:sz="0" w:space="0" w:color="auto"/>
            <w:bottom w:val="none" w:sz="0" w:space="0" w:color="auto"/>
            <w:right w:val="none" w:sz="0" w:space="0" w:color="auto"/>
          </w:divBdr>
        </w:div>
        <w:div w:id="645012983">
          <w:marLeft w:val="0"/>
          <w:marRight w:val="0"/>
          <w:marTop w:val="0"/>
          <w:marBottom w:val="0"/>
          <w:divBdr>
            <w:top w:val="none" w:sz="0" w:space="0" w:color="auto"/>
            <w:left w:val="none" w:sz="0" w:space="0" w:color="auto"/>
            <w:bottom w:val="none" w:sz="0" w:space="0" w:color="auto"/>
            <w:right w:val="none" w:sz="0" w:space="0" w:color="auto"/>
          </w:divBdr>
        </w:div>
        <w:div w:id="792141453">
          <w:marLeft w:val="0"/>
          <w:marRight w:val="0"/>
          <w:marTop w:val="0"/>
          <w:marBottom w:val="0"/>
          <w:divBdr>
            <w:top w:val="none" w:sz="0" w:space="0" w:color="auto"/>
            <w:left w:val="none" w:sz="0" w:space="0" w:color="auto"/>
            <w:bottom w:val="none" w:sz="0" w:space="0" w:color="auto"/>
            <w:right w:val="none" w:sz="0" w:space="0" w:color="auto"/>
          </w:divBdr>
        </w:div>
        <w:div w:id="507986286">
          <w:marLeft w:val="0"/>
          <w:marRight w:val="0"/>
          <w:marTop w:val="0"/>
          <w:marBottom w:val="0"/>
          <w:divBdr>
            <w:top w:val="none" w:sz="0" w:space="0" w:color="auto"/>
            <w:left w:val="none" w:sz="0" w:space="0" w:color="auto"/>
            <w:bottom w:val="none" w:sz="0" w:space="0" w:color="auto"/>
            <w:right w:val="none" w:sz="0" w:space="0" w:color="auto"/>
          </w:divBdr>
        </w:div>
        <w:div w:id="805007379">
          <w:marLeft w:val="0"/>
          <w:marRight w:val="0"/>
          <w:marTop w:val="0"/>
          <w:marBottom w:val="0"/>
          <w:divBdr>
            <w:top w:val="none" w:sz="0" w:space="0" w:color="auto"/>
            <w:left w:val="none" w:sz="0" w:space="0" w:color="auto"/>
            <w:bottom w:val="none" w:sz="0" w:space="0" w:color="auto"/>
            <w:right w:val="none" w:sz="0" w:space="0" w:color="auto"/>
          </w:divBdr>
        </w:div>
        <w:div w:id="1122845602">
          <w:marLeft w:val="0"/>
          <w:marRight w:val="0"/>
          <w:marTop w:val="0"/>
          <w:marBottom w:val="0"/>
          <w:divBdr>
            <w:top w:val="none" w:sz="0" w:space="0" w:color="auto"/>
            <w:left w:val="none" w:sz="0" w:space="0" w:color="auto"/>
            <w:bottom w:val="none" w:sz="0" w:space="0" w:color="auto"/>
            <w:right w:val="none" w:sz="0" w:space="0" w:color="auto"/>
          </w:divBdr>
        </w:div>
        <w:div w:id="735589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2020-04-26T11:27:00Z</dcterms:created>
  <dcterms:modified xsi:type="dcterms:W3CDTF">2020-04-26T11:28:00Z</dcterms:modified>
</cp:coreProperties>
</file>